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3"/>
        <w:tblW w:w="10149" w:type="dxa"/>
        <w:jc w:val="left"/>
        <w:tblLayout w:type="fixed"/>
        <w:tblLook w:val="0000" w:firstRow="0" w:lastRow="0" w:firstColumn="0" w:lastColumn="0" w:noHBand="0" w:noVBand="0"/>
      </w:tblPr>
      <w:tblGrid>
        <w:gridCol w:w="2577"/>
        <w:gridCol w:w="885"/>
        <w:gridCol w:w="887"/>
        <w:gridCol w:w="885"/>
        <w:gridCol w:w="887"/>
        <w:gridCol w:w="885"/>
        <w:gridCol w:w="887"/>
        <w:gridCol w:w="1128"/>
        <w:gridCol w:w="1128"/>
      </w:tblGrid>
      <w:tr w:rsidR="00EF180C" w:rsidRPr="00C77FE0" w:rsidTr="000E466E">
        <w:trPr>
          <w:trHeight w:val="567"/>
          <w:jc w:val="left"/>
        </w:trPr>
        <w:tc>
          <w:tcPr>
            <w:tcW w:w="8929" w:type="dxa"/>
            <w:gridSpan w:val="9"/>
            <w:tcBorders>
              <w:bottom w:val="single" w:sz="4" w:space="0" w:color="auto"/>
            </w:tcBorders>
            <w:shd w:val="clear" w:color="auto" w:fill="BFBFBF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/>
                <w:color w:val="000000"/>
                <w:position w:val="-1"/>
                <w:szCs w:val="18"/>
              </w:rPr>
            </w:pPr>
            <w:r w:rsidRPr="00C77FE0">
              <w:rPr>
                <w:rFonts w:cs="Times New Roman"/>
                <w:b/>
                <w:position w:val="-1"/>
                <w:szCs w:val="18"/>
              </w:rPr>
              <w:t>Table 3. Relation between patients’ outcome and underlying psychiatric diagnosis</w:t>
            </w:r>
          </w:p>
        </w:tc>
      </w:tr>
      <w:tr w:rsidR="00EF180C" w:rsidRPr="00C77FE0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Psychiatric interview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Outcome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color w:val="000000"/>
                <w:position w:val="-1"/>
                <w:szCs w:val="18"/>
              </w:rPr>
              <w:t>χ</w:t>
            </w:r>
            <w:r w:rsidRPr="00C77FE0">
              <w:rPr>
                <w:rFonts w:cs="Times New Roman"/>
                <w:bCs/>
                <w:color w:val="000000"/>
                <w:position w:val="-1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color w:val="000000"/>
                <w:position w:val="-1"/>
                <w:szCs w:val="18"/>
              </w:rPr>
              <w:t>P</w:t>
            </w:r>
          </w:p>
        </w:tc>
      </w:tr>
      <w:tr w:rsidR="00EF180C" w:rsidRPr="00C77FE0" w:rsidTr="000E466E">
        <w:trPr>
          <w:trHeight w:val="283"/>
          <w:jc w:val="left"/>
        </w:trPr>
        <w:tc>
          <w:tcPr>
            <w:tcW w:w="2268" w:type="dxa"/>
            <w:vMerge/>
            <w:shd w:val="clear" w:color="auto" w:fill="auto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APC admission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ICU admission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Death</w:t>
            </w:r>
          </w:p>
        </w:tc>
        <w:tc>
          <w:tcPr>
            <w:tcW w:w="992" w:type="dxa"/>
            <w:vMerge/>
            <w:shd w:val="clear" w:color="auto" w:fill="auto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</w:tr>
      <w:tr w:rsidR="00EF180C" w:rsidRPr="00C77FE0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268" w:type="dxa"/>
            <w:vMerge/>
            <w:shd w:val="clear" w:color="auto" w:fill="auto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No.</w:t>
            </w: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%</w:t>
            </w: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No.</w:t>
            </w: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%</w:t>
            </w: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No.</w:t>
            </w: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</w:tr>
      <w:tr w:rsidR="00EF180C" w:rsidRPr="00C77FE0" w:rsidTr="000E466E">
        <w:trPr>
          <w:trHeight w:val="283"/>
          <w:jc w:val="left"/>
        </w:trPr>
        <w:tc>
          <w:tcPr>
            <w:tcW w:w="2268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Depression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</w:p>
        </w:tc>
      </w:tr>
      <w:tr w:rsidR="00EF180C" w:rsidRPr="00C77FE0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268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No (48)</w:t>
            </w: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52.1</w:t>
            </w: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15</w:t>
            </w: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31.2</w:t>
            </w: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16.7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color w:val="000000"/>
                <w:position w:val="-1"/>
                <w:szCs w:val="18"/>
              </w:rPr>
              <w:t>3.142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color w:val="000000"/>
                <w:position w:val="-1"/>
                <w:szCs w:val="18"/>
              </w:rPr>
              <w:t>0.208</w:t>
            </w:r>
          </w:p>
        </w:tc>
      </w:tr>
      <w:tr w:rsidR="00EF180C" w:rsidRPr="00C77FE0" w:rsidTr="000E466E">
        <w:trPr>
          <w:trHeight w:val="283"/>
          <w:jc w:val="left"/>
        </w:trPr>
        <w:tc>
          <w:tcPr>
            <w:tcW w:w="2268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Yes (52)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18</w:t>
            </w: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34.6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23</w:t>
            </w: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44.2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11</w:t>
            </w: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21.2</w:t>
            </w:r>
          </w:p>
        </w:tc>
        <w:tc>
          <w:tcPr>
            <w:tcW w:w="992" w:type="dxa"/>
            <w:vMerge/>
            <w:shd w:val="clear" w:color="auto" w:fill="D9D9D9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</w:tr>
      <w:tr w:rsidR="00EF180C" w:rsidRPr="00C77FE0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268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Anxiety</w:t>
            </w: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</w:p>
        </w:tc>
      </w:tr>
      <w:tr w:rsidR="00EF180C" w:rsidRPr="00C77FE0" w:rsidTr="000E466E">
        <w:trPr>
          <w:trHeight w:val="283"/>
          <w:jc w:val="left"/>
        </w:trPr>
        <w:tc>
          <w:tcPr>
            <w:tcW w:w="2268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No (23)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10</w:t>
            </w: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43.5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13</w:t>
            </w: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56.5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0</w:t>
            </w: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0.0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color w:val="000000"/>
                <w:position w:val="-1"/>
                <w:szCs w:val="18"/>
              </w:rPr>
              <w:t>8.374</w:t>
            </w:r>
            <w:r w:rsidRPr="00C77FE0">
              <w:rPr>
                <w:rFonts w:cs="Times New Roman"/>
                <w:bCs/>
                <w:color w:val="000000"/>
                <w:position w:val="-1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color w:val="000000"/>
                <w:position w:val="-1"/>
                <w:szCs w:val="18"/>
              </w:rPr>
              <w:t>0.015</w:t>
            </w:r>
            <w:r w:rsidRPr="00C77FE0">
              <w:rPr>
                <w:rFonts w:cs="Times New Roman"/>
                <w:bCs/>
                <w:color w:val="000000"/>
                <w:position w:val="-1"/>
                <w:szCs w:val="18"/>
                <w:vertAlign w:val="superscript"/>
              </w:rPr>
              <w:t>*</w:t>
            </w:r>
          </w:p>
        </w:tc>
      </w:tr>
      <w:tr w:rsidR="00EF180C" w:rsidRPr="00C77FE0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268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Yes (77)</w:t>
            </w: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33</w:t>
            </w: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42.8</w:t>
            </w: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32.5</w:t>
            </w: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19</w:t>
            </w: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24.7</w:t>
            </w:r>
          </w:p>
        </w:tc>
        <w:tc>
          <w:tcPr>
            <w:tcW w:w="992" w:type="dxa"/>
            <w:vMerge/>
            <w:shd w:val="clear" w:color="auto" w:fill="auto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</w:tr>
      <w:tr w:rsidR="00EF180C" w:rsidRPr="00C77FE0" w:rsidTr="000E466E">
        <w:trPr>
          <w:trHeight w:val="283"/>
          <w:jc w:val="left"/>
        </w:trPr>
        <w:tc>
          <w:tcPr>
            <w:tcW w:w="2268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Personality disorder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</w:p>
        </w:tc>
      </w:tr>
      <w:tr w:rsidR="00EF180C" w:rsidRPr="00C77FE0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268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No (71)</w:t>
            </w: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47.9</w:t>
            </w: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27</w:t>
            </w: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38.0</w:t>
            </w: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14.1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color w:val="000000"/>
                <w:position w:val="-1"/>
                <w:szCs w:val="18"/>
              </w:rPr>
              <w:t>4.473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color w:val="000000"/>
                <w:position w:val="-1"/>
                <w:szCs w:val="18"/>
              </w:rPr>
              <w:t>0.107</w:t>
            </w:r>
          </w:p>
        </w:tc>
      </w:tr>
      <w:tr w:rsidR="00EF180C" w:rsidRPr="00C77FE0" w:rsidTr="000E466E">
        <w:trPr>
          <w:trHeight w:val="283"/>
          <w:jc w:val="left"/>
        </w:trPr>
        <w:tc>
          <w:tcPr>
            <w:tcW w:w="2268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Yes (29)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9</w:t>
            </w: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31.9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11</w:t>
            </w: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38.0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9</w:t>
            </w: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31.0</w:t>
            </w:r>
          </w:p>
        </w:tc>
        <w:tc>
          <w:tcPr>
            <w:tcW w:w="992" w:type="dxa"/>
            <w:vMerge/>
            <w:shd w:val="clear" w:color="auto" w:fill="D9D9D9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</w:tr>
      <w:tr w:rsidR="00EF180C" w:rsidRPr="00C77FE0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268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Life event</w:t>
            </w: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</w:p>
        </w:tc>
      </w:tr>
      <w:tr w:rsidR="00EF180C" w:rsidRPr="00C77FE0" w:rsidTr="000E466E">
        <w:trPr>
          <w:trHeight w:val="283"/>
          <w:jc w:val="left"/>
        </w:trPr>
        <w:tc>
          <w:tcPr>
            <w:tcW w:w="2268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No (4)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4</w:t>
            </w: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100.0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0</w:t>
            </w: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0.0</w:t>
            </w:r>
          </w:p>
        </w:tc>
        <w:tc>
          <w:tcPr>
            <w:tcW w:w="779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0</w:t>
            </w:r>
          </w:p>
        </w:tc>
        <w:tc>
          <w:tcPr>
            <w:tcW w:w="780" w:type="dxa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0.0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color w:val="000000"/>
                <w:position w:val="-1"/>
                <w:szCs w:val="18"/>
              </w:rPr>
              <w:t>4.023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  <w:proofErr w:type="spellStart"/>
            <w:r w:rsidRPr="00C77FE0">
              <w:rPr>
                <w:rFonts w:cs="Times New Roman"/>
                <w:bCs/>
                <w:color w:val="000000"/>
                <w:position w:val="-1"/>
                <w:szCs w:val="18"/>
                <w:vertAlign w:val="superscript"/>
              </w:rPr>
              <w:t>MC</w:t>
            </w:r>
            <w:r w:rsidRPr="00C77FE0">
              <w:rPr>
                <w:rFonts w:cs="Times New Roman"/>
                <w:bCs/>
                <w:color w:val="000000"/>
                <w:position w:val="-1"/>
                <w:szCs w:val="18"/>
              </w:rPr>
              <w:t>p</w:t>
            </w:r>
            <w:proofErr w:type="spellEnd"/>
            <w:r w:rsidRPr="00C77FE0">
              <w:rPr>
                <w:rFonts w:cs="Times New Roman"/>
                <w:bCs/>
                <w:color w:val="000000"/>
                <w:position w:val="-1"/>
                <w:szCs w:val="18"/>
              </w:rPr>
              <w:t>=</w:t>
            </w:r>
          </w:p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color w:val="000000"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color w:val="000000"/>
                <w:position w:val="-1"/>
                <w:szCs w:val="18"/>
              </w:rPr>
              <w:t>0.104</w:t>
            </w:r>
          </w:p>
        </w:tc>
      </w:tr>
      <w:tr w:rsidR="00EF180C" w:rsidRPr="00C77FE0" w:rsidTr="000E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Yes (96)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39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40.6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38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39.6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19.8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contextualSpacing/>
              <w:mirrorIndents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</w:p>
        </w:tc>
      </w:tr>
      <w:tr w:rsidR="00EF180C" w:rsidRPr="00C77FE0" w:rsidTr="000E466E">
        <w:trPr>
          <w:trHeight w:val="454"/>
          <w:jc w:val="left"/>
        </w:trPr>
        <w:tc>
          <w:tcPr>
            <w:tcW w:w="89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color w:val="000000"/>
                <w:position w:val="-1"/>
                <w:szCs w:val="18"/>
              </w:rPr>
              <w:t>χ</w:t>
            </w:r>
            <w:r w:rsidRPr="00C77FE0">
              <w:rPr>
                <w:rFonts w:cs="Times New Roman"/>
                <w:bCs/>
                <w:position w:val="-1"/>
                <w:szCs w:val="18"/>
                <w:vertAlign w:val="superscript"/>
              </w:rPr>
              <w:t xml:space="preserve"> 2</w:t>
            </w:r>
            <w:r w:rsidRPr="00C77FE0">
              <w:rPr>
                <w:rFonts w:cs="Times New Roman"/>
                <w:bCs/>
                <w:position w:val="-1"/>
                <w:szCs w:val="18"/>
              </w:rPr>
              <w:t>: Chi square test        MC: Monte Carlo</w:t>
            </w:r>
          </w:p>
          <w:p w:rsidR="00EF180C" w:rsidRPr="00C77FE0" w:rsidRDefault="00EF180C" w:rsidP="000E466E">
            <w:pPr>
              <w:suppressAutoHyphens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cs="Times New Roman"/>
                <w:bCs/>
                <w:position w:val="-1"/>
                <w:szCs w:val="18"/>
              </w:rPr>
            </w:pPr>
            <w:r w:rsidRPr="00C77FE0">
              <w:rPr>
                <w:rFonts w:cs="Times New Roman"/>
                <w:bCs/>
                <w:position w:val="-1"/>
                <w:szCs w:val="18"/>
              </w:rPr>
              <w:t>p: p value for  comparison of the three categories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A7"/>
    <w:rsid w:val="003268A7"/>
    <w:rsid w:val="00386280"/>
    <w:rsid w:val="00605B59"/>
    <w:rsid w:val="008439A2"/>
    <w:rsid w:val="00920797"/>
    <w:rsid w:val="00E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53BCD-D673-43EF-B8D9-631A9CD1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3">
    <w:name w:val="APJMT23"/>
    <w:basedOn w:val="TableNormal"/>
    <w:uiPriority w:val="99"/>
    <w:rsid w:val="00EF180C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2021-05-02T11:03:00Z</dcterms:created>
  <dcterms:modified xsi:type="dcterms:W3CDTF">2021-05-02T11:03:00Z</dcterms:modified>
</cp:coreProperties>
</file>