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5"/>
        <w:tblW w:w="4905" w:type="dxa"/>
        <w:jc w:val="left"/>
        <w:tblLook w:val="04A0" w:firstRow="1" w:lastRow="0" w:firstColumn="1" w:lastColumn="0" w:noHBand="0" w:noVBand="1"/>
      </w:tblPr>
      <w:tblGrid>
        <w:gridCol w:w="1843"/>
        <w:gridCol w:w="1559"/>
        <w:gridCol w:w="1503"/>
      </w:tblGrid>
      <w:tr w:rsidR="00541CC3" w:rsidRPr="008F6D43" w:rsidTr="00087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5000" w:type="pct"/>
            <w:gridSpan w:val="3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 xml:space="preserve">Table 1. </w:t>
            </w:r>
            <w:bookmarkStart w:id="0" w:name="_GoBack"/>
            <w:r w:rsidRPr="008F6D43">
              <w:rPr>
                <w:rFonts w:cs="Times New Roman"/>
                <w:szCs w:val="18"/>
              </w:rPr>
              <w:t>Organoleptic characteristics of illegal alcoholic products (n=116)</w:t>
            </w:r>
            <w:bookmarkEnd w:id="0"/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3468" w:type="pct"/>
            <w:gridSpan w:val="2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Organoleptic parameter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Frequency (%)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 w:val="restar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Type of Packaging</w:t>
            </w: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Plastic bottle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86.2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Glass bottle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13.8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 w:val="restart"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Existence of packaging label</w:t>
            </w: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Yes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trike/>
                <w:szCs w:val="18"/>
              </w:rPr>
            </w:pPr>
            <w:r w:rsidRPr="008F6D43">
              <w:rPr>
                <w:rFonts w:cs="Times New Roman"/>
                <w:szCs w:val="18"/>
              </w:rPr>
              <w:t>86.2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No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13.8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 w:val="restar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Sample volume (mL)</w:t>
            </w: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&lt;50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18.9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51-100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11.3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101-200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19.5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201-300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26.1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301-400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5.8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401-500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6.4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501-1000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7.4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&gt;1000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4.6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 w:val="restart"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pH</w:t>
            </w: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&lt;3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27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3.1-3.5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None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3.6- 4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44.7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4.1- 4.5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None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4.6- 5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20.1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5.1- 5.5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None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5.6- 6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6.0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&gt;6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2.2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 w:val="restar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Color</w:t>
            </w: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Cherry red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8.5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Brown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23.1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Yellow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14.9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Red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1.6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Colorless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46.3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Orange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0.6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Gray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0.6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  <w:shd w:val="clear" w:color="auto" w:fill="F8F8F8"/>
              </w:rPr>
              <w:t>Cream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4.4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 w:val="restart"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Appearance</w:t>
            </w: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Clear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67.3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  <w:shd w:val="clear" w:color="auto" w:fill="auto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Opaque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32.7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 w:val="restar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Odor</w:t>
            </w: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Rotten apple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5.8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Alcohol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38.6</w:t>
            </w:r>
          </w:p>
        </w:tc>
      </w:tr>
      <w:tr w:rsidR="00541CC3" w:rsidRPr="008F6D43" w:rsidTr="00087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879" w:type="pct"/>
            <w:vMerge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Vinegar</w:t>
            </w:r>
          </w:p>
        </w:tc>
        <w:tc>
          <w:tcPr>
            <w:tcW w:w="1532" w:type="pct"/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4.1</w:t>
            </w:r>
          </w:p>
        </w:tc>
      </w:tr>
      <w:tr w:rsidR="00541CC3" w:rsidRPr="008F6D43" w:rsidTr="00087D99">
        <w:trPr>
          <w:trHeight w:val="283"/>
          <w:jc w:val="left"/>
        </w:trPr>
        <w:tc>
          <w:tcPr>
            <w:tcW w:w="1879" w:type="pct"/>
            <w:vMerge/>
            <w:tcBorders>
              <w:bottom w:val="single" w:sz="4" w:space="0" w:color="auto"/>
            </w:tcBorders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589" w:type="pct"/>
            <w:tcBorders>
              <w:bottom w:val="single" w:sz="4" w:space="0" w:color="auto"/>
            </w:tcBorders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Odorless</w:t>
            </w:r>
          </w:p>
        </w:tc>
        <w:tc>
          <w:tcPr>
            <w:tcW w:w="1532" w:type="pct"/>
            <w:tcBorders>
              <w:bottom w:val="single" w:sz="4" w:space="0" w:color="auto"/>
            </w:tcBorders>
          </w:tcPr>
          <w:p w:rsidR="00541CC3" w:rsidRPr="008F6D43" w:rsidRDefault="00541CC3" w:rsidP="00087D9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Cs w:val="18"/>
              </w:rPr>
            </w:pPr>
            <w:r w:rsidRPr="008F6D43">
              <w:rPr>
                <w:rFonts w:cs="Times New Roman"/>
                <w:szCs w:val="18"/>
              </w:rPr>
              <w:t>51.5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C3"/>
    <w:rsid w:val="00386280"/>
    <w:rsid w:val="00541CC3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2DC69-2ECC-4941-8B54-2643B095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CC3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5">
    <w:name w:val="APJMT15"/>
    <w:basedOn w:val="TableNormal"/>
    <w:uiPriority w:val="99"/>
    <w:rsid w:val="00541CC3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2021-01-22T16:06:00Z</dcterms:created>
  <dcterms:modified xsi:type="dcterms:W3CDTF">2021-01-22T16:07:00Z</dcterms:modified>
</cp:coreProperties>
</file>