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3"/>
        <w:tblW w:w="10149" w:type="dxa"/>
        <w:jc w:val="left"/>
        <w:tblLayout w:type="fixed"/>
        <w:tblLook w:val="0000" w:firstRow="0" w:lastRow="0" w:firstColumn="0" w:lastColumn="0" w:noHBand="0" w:noVBand="0"/>
      </w:tblPr>
      <w:tblGrid>
        <w:gridCol w:w="2577"/>
        <w:gridCol w:w="885"/>
        <w:gridCol w:w="887"/>
        <w:gridCol w:w="885"/>
        <w:gridCol w:w="887"/>
        <w:gridCol w:w="885"/>
        <w:gridCol w:w="887"/>
        <w:gridCol w:w="1128"/>
        <w:gridCol w:w="1128"/>
      </w:tblGrid>
      <w:tr w:rsidR="00EF180C" w:rsidRPr="00C77FE0" w:rsidTr="000E466E">
        <w:trPr>
          <w:trHeight w:val="567"/>
          <w:jc w:val="left"/>
        </w:trPr>
        <w:tc>
          <w:tcPr>
            <w:tcW w:w="8929" w:type="dxa"/>
            <w:gridSpan w:val="9"/>
            <w:tcBorders>
              <w:bottom w:val="single" w:sz="4" w:space="0" w:color="auto"/>
            </w:tcBorders>
            <w:shd w:val="clear" w:color="auto" w:fill="BFBFBF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/>
                <w:position w:val="-1"/>
                <w:szCs w:val="18"/>
              </w:rPr>
              <w:t>Table 3. Relation between patients’ outcome and underlying psychiatric diagnosis</w:t>
            </w: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Psychiatric interview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Outcome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χ</w:t>
            </w:r>
            <w:r w:rsidRPr="00C77FE0">
              <w:rPr>
                <w:rFonts w:cs="Times New Roman"/>
                <w:bCs/>
                <w:color w:val="000000"/>
                <w:position w:val="-1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P</w:t>
            </w: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APC admission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ICU admission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Death</w:t>
            </w:r>
          </w:p>
        </w:tc>
        <w:tc>
          <w:tcPr>
            <w:tcW w:w="992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Depression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 (48)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52.1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15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31.2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16.7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3.142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0.208</w:t>
            </w: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Yes (52)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18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34.6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23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44.2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11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21.2</w:t>
            </w:r>
          </w:p>
        </w:tc>
        <w:tc>
          <w:tcPr>
            <w:tcW w:w="992" w:type="dxa"/>
            <w:vMerge/>
            <w:shd w:val="clear" w:color="auto" w:fill="D9D9D9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Anxiety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 (23)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10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43.5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13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56.5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8.374</w:t>
            </w:r>
            <w:r w:rsidRPr="00C77FE0">
              <w:rPr>
                <w:rFonts w:cs="Times New Roman"/>
                <w:bCs/>
                <w:color w:val="000000"/>
                <w:position w:val="-1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0.015</w:t>
            </w:r>
            <w:r w:rsidRPr="00C77FE0">
              <w:rPr>
                <w:rFonts w:cs="Times New Roman"/>
                <w:bCs/>
                <w:color w:val="000000"/>
                <w:position w:val="-1"/>
                <w:szCs w:val="18"/>
                <w:vertAlign w:val="superscript"/>
              </w:rPr>
              <w:t>*</w:t>
            </w: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Yes (77)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33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42.8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32.5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19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24.7</w:t>
            </w:r>
          </w:p>
        </w:tc>
        <w:tc>
          <w:tcPr>
            <w:tcW w:w="992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Personality disorder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 (71)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34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47.9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27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38.0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14.1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4.473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0.107</w:t>
            </w: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Yes (29)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9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31.9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11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38.0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9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31.0</w:t>
            </w:r>
          </w:p>
        </w:tc>
        <w:tc>
          <w:tcPr>
            <w:tcW w:w="992" w:type="dxa"/>
            <w:vMerge/>
            <w:shd w:val="clear" w:color="auto" w:fill="D9D9D9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Life event</w:t>
            </w: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9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</w:p>
        </w:tc>
      </w:tr>
      <w:tr w:rsidR="00EF180C" w:rsidRPr="00C77FE0" w:rsidTr="000E466E">
        <w:trPr>
          <w:trHeight w:val="283"/>
          <w:jc w:val="left"/>
        </w:trPr>
        <w:tc>
          <w:tcPr>
            <w:tcW w:w="2268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No (4)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4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100.0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  <w:tc>
          <w:tcPr>
            <w:tcW w:w="779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80" w:type="dxa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4.023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proofErr w:type="spellStart"/>
            <w:r w:rsidRPr="00C77FE0">
              <w:rPr>
                <w:rFonts w:cs="Times New Roman"/>
                <w:bCs/>
                <w:color w:val="000000"/>
                <w:position w:val="-1"/>
                <w:szCs w:val="18"/>
                <w:vertAlign w:val="superscript"/>
              </w:rPr>
              <w:t>MC</w:t>
            </w: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p</w:t>
            </w:r>
            <w:proofErr w:type="spellEnd"/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=</w:t>
            </w:r>
          </w:p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color w:val="000000"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0.104</w:t>
            </w:r>
          </w:p>
        </w:tc>
      </w:tr>
      <w:tr w:rsidR="00EF180C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Yes (96)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40.6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39.6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19.8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EF180C" w:rsidRPr="00C77FE0" w:rsidTr="000E466E">
        <w:trPr>
          <w:trHeight w:val="454"/>
          <w:jc w:val="left"/>
        </w:trPr>
        <w:tc>
          <w:tcPr>
            <w:tcW w:w="892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color w:val="000000"/>
                <w:position w:val="-1"/>
                <w:szCs w:val="18"/>
              </w:rPr>
              <w:t>χ</w:t>
            </w:r>
            <w:r w:rsidRPr="00C77FE0">
              <w:rPr>
                <w:rFonts w:cs="Times New Roman"/>
                <w:bCs/>
                <w:position w:val="-1"/>
                <w:szCs w:val="18"/>
                <w:vertAlign w:val="superscript"/>
              </w:rPr>
              <w:t xml:space="preserve"> 2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: Chi square test        MC: Monte Carlo</w:t>
            </w:r>
          </w:p>
          <w:p w:rsidR="00EF180C" w:rsidRPr="00C77FE0" w:rsidRDefault="00EF180C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p: p value for  comparison of the three categories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7"/>
    <w:rsid w:val="003268A7"/>
    <w:rsid w:val="00386280"/>
    <w:rsid w:val="00605B59"/>
    <w:rsid w:val="008439A2"/>
    <w:rsid w:val="00920797"/>
    <w:rsid w:val="00E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3BCD-D673-43EF-B8D9-631A9CD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3">
    <w:name w:val="APJMT23"/>
    <w:basedOn w:val="TableNormal"/>
    <w:uiPriority w:val="99"/>
    <w:rsid w:val="00EF180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2021-05-02T11:03:00Z</dcterms:created>
  <dcterms:modified xsi:type="dcterms:W3CDTF">2021-05-02T11:03:00Z</dcterms:modified>
</cp:coreProperties>
</file>