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5"/>
        <w:tblW w:w="10149" w:type="dxa"/>
        <w:tblLook w:val="04A0" w:firstRow="1" w:lastRow="0" w:firstColumn="1" w:lastColumn="0" w:noHBand="0" w:noVBand="1"/>
      </w:tblPr>
      <w:tblGrid>
        <w:gridCol w:w="4253"/>
        <w:gridCol w:w="1965"/>
        <w:gridCol w:w="1965"/>
        <w:gridCol w:w="1966"/>
      </w:tblGrid>
      <w:tr w:rsidR="00FF4CB8" w:rsidRPr="007F143A" w:rsidTr="00D64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4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7F143A">
              <w:rPr>
                <w:rFonts w:cs="Times New Roman"/>
                <w:szCs w:val="18"/>
              </w:rPr>
              <w:t>Table 1. Patient demographics and envenomation characteristics</w:t>
            </w:r>
          </w:p>
        </w:tc>
      </w:tr>
      <w:tr w:rsidR="00FF4CB8" w:rsidRPr="007F143A" w:rsidTr="00D64FE2">
        <w:trPr>
          <w:trHeight w:val="454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Characteristics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All patients (n=40)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Scorpion envenomation (n=15)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Snake envenomation (n=25)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Age, median (range)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30 (9-68)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22 (15-52)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33 (9-68)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Gender (females), n (%)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18 (45)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8 (53.3)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10 (40.0)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Envenomation in a rural area, n (%)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30 (75)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10 (66.7)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20 (80)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7F143A">
              <w:rPr>
                <w:rFonts w:cs="Times New Roman"/>
                <w:bCs/>
                <w:szCs w:val="18"/>
              </w:rPr>
              <w:t>Calender</w:t>
            </w:r>
            <w:proofErr w:type="spellEnd"/>
            <w:r w:rsidRPr="007F143A">
              <w:rPr>
                <w:rFonts w:cs="Times New Roman"/>
                <w:bCs/>
                <w:szCs w:val="18"/>
              </w:rPr>
              <w:t xml:space="preserve"> season of envenomation, n (%)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Winter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 (2.5)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 (6.7)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0 (0)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Spring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5 (12.5)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 (6.7)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4 (16.0)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Summer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24 (60.0)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10 (66.7)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14 (56.0)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Autumn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10 (25.0)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3 (20.0)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7 (28.0)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Anatomical site of sting or bite, n (%)</w:t>
            </w:r>
          </w:p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Head and neck</w:t>
            </w:r>
          </w:p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Upper extremity</w:t>
            </w:r>
          </w:p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Lower extremity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 (2.5)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13 (32.5)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23 (57.5)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0 (0)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4 (26.7)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11 (73.3)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 (4.0)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9 (36.0)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15 (60.0)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Time to index healthcare service (hours), median (range)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1.0 (0.5-24.0)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2.0 (0.5-6.0)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1.0 (0.5-24.0)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Presence of pregnancy, n (%)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 (5)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 (13.3)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0 (0)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Poisoning severity score, n (%)</w:t>
            </w:r>
          </w:p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0 or 1</w:t>
            </w:r>
          </w:p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</w:t>
            </w:r>
          </w:p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3 or 4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19 (47.5)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16 (40.0)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5 (12.5)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9 (60.0)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6 (40)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0 (0)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10 (40.0)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10 (40.0)</w:t>
            </w:r>
          </w:p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5 (20.0)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Presence of local effects, n (%)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33 (82.5)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11 (73.3)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22 (88.0)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Mild or moderate pain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24 (60.0)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9 (60.0)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15 (60.0)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Swelling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21 (52.5)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3 (20.0)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18 (72.0)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Reddening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9 (22.5)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4 (26.7)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5 (20.0)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Necrosis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 (5.0)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0 (0)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 (8.0)</w:t>
            </w:r>
          </w:p>
        </w:tc>
      </w:tr>
      <w:tr w:rsidR="00FF4CB8" w:rsidRPr="007F143A" w:rsidTr="00FF4CB8">
        <w:trPr>
          <w:trHeight w:val="439"/>
        </w:trPr>
        <w:tc>
          <w:tcPr>
            <w:tcW w:w="4253" w:type="dxa"/>
          </w:tcPr>
          <w:p w:rsidR="00FF4CB8" w:rsidRPr="007F143A" w:rsidRDefault="00FF4CB8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Presence of systemic effects, n (%)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27 (67.5)</w:t>
            </w:r>
          </w:p>
        </w:tc>
        <w:tc>
          <w:tcPr>
            <w:tcW w:w="1965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11 (73.3)</w:t>
            </w:r>
          </w:p>
        </w:tc>
        <w:tc>
          <w:tcPr>
            <w:tcW w:w="1966" w:type="dxa"/>
          </w:tcPr>
          <w:p w:rsidR="00FF4CB8" w:rsidRPr="007F143A" w:rsidRDefault="00FF4CB8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7F143A">
              <w:rPr>
                <w:rFonts w:cs="Times New Roman"/>
                <w:bCs/>
                <w:szCs w:val="18"/>
              </w:rPr>
              <w:t>16 (64.0)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Paresthesia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8 (20.0)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8 (53.3)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0 (0)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Coagulation disturbances without</w:t>
            </w:r>
            <w:r>
              <w:rPr>
                <w:rFonts w:cs="Times New Roman"/>
                <w:bCs/>
                <w:szCs w:val="18"/>
              </w:rPr>
              <w:t xml:space="preserve"> </w:t>
            </w:r>
            <w:r w:rsidRPr="003446EF">
              <w:rPr>
                <w:rFonts w:cs="Times New Roman"/>
                <w:bCs/>
                <w:szCs w:val="18"/>
              </w:rPr>
              <w:t>bleeding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7 (17.5)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3 (20.0)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4 (16.0)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Mild acidosis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7 (17.5)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1 (6.7)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6 (24.0)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Sinus tachycardia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6 (15.0)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0 (0)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6 (24.0)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Thrombocytopenia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5 (12.5)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1 (6.7)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4 (16.0)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Mild electrolyte and fluid</w:t>
            </w:r>
            <w:r>
              <w:rPr>
                <w:rFonts w:cs="Times New Roman"/>
                <w:bCs/>
                <w:szCs w:val="18"/>
              </w:rPr>
              <w:t xml:space="preserve"> </w:t>
            </w:r>
            <w:r w:rsidRPr="003446EF">
              <w:rPr>
                <w:rFonts w:cs="Times New Roman"/>
                <w:bCs/>
                <w:szCs w:val="18"/>
              </w:rPr>
              <w:t>disturbances (</w:t>
            </w:r>
            <w:proofErr w:type="spellStart"/>
            <w:r w:rsidRPr="003446EF">
              <w:rPr>
                <w:rFonts w:cs="Times New Roman"/>
                <w:bCs/>
                <w:szCs w:val="18"/>
              </w:rPr>
              <w:t>Hyponatremia</w:t>
            </w:r>
            <w:proofErr w:type="spellEnd"/>
            <w:r w:rsidRPr="003446EF">
              <w:rPr>
                <w:rFonts w:cs="Times New Roman"/>
                <w:bCs/>
                <w:szCs w:val="18"/>
              </w:rPr>
              <w:t xml:space="preserve"> or hypernatremia)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5 (12.5)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3 (20.0)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2 (8.0)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Sinus bradycardia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4 (10.0)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1 (6.7)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3 (12.0)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Hypertension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4 (10.0)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1 (6.7)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3 (12.0)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 xml:space="preserve">Myocardial </w:t>
            </w:r>
            <w:proofErr w:type="spellStart"/>
            <w:r w:rsidRPr="003446EF">
              <w:rPr>
                <w:rFonts w:cs="Times New Roman"/>
                <w:bCs/>
                <w:szCs w:val="18"/>
              </w:rPr>
              <w:t>ischaemia</w:t>
            </w:r>
            <w:proofErr w:type="spellEnd"/>
            <w:r w:rsidRPr="003446EF">
              <w:rPr>
                <w:rFonts w:cs="Times New Roman"/>
                <w:bCs/>
                <w:szCs w:val="18"/>
              </w:rPr>
              <w:t xml:space="preserve"> suspected by elevated serum troponin levels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2 (5.0)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1 (6.7)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1 (4.0)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Compartment syndrome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2 (5.0)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0 (0)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2 (8.0)</w:t>
            </w:r>
          </w:p>
        </w:tc>
      </w:tr>
      <w:tr w:rsidR="00FF4CB8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3446EF">
              <w:rPr>
                <w:rFonts w:cs="Times New Roman"/>
                <w:bCs/>
                <w:szCs w:val="18"/>
              </w:rPr>
              <w:t>Others</w:t>
            </w:r>
            <w:r w:rsidRPr="003446EF">
              <w:rPr>
                <w:rFonts w:cs="Times New Roman"/>
                <w:bCs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5 (12.5)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1 (6.7)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4 (16.0)</w:t>
            </w:r>
          </w:p>
        </w:tc>
      </w:tr>
      <w:tr w:rsidR="00FF4CB8" w:rsidRPr="007F143A" w:rsidTr="00D64FE2">
        <w:trPr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3446EF">
              <w:rPr>
                <w:rFonts w:cs="Times New Roman"/>
                <w:bCs/>
                <w:szCs w:val="18"/>
              </w:rPr>
              <w:t>Lenght</w:t>
            </w:r>
            <w:proofErr w:type="spellEnd"/>
            <w:r w:rsidRPr="003446EF">
              <w:rPr>
                <w:rFonts w:cs="Times New Roman"/>
                <w:bCs/>
                <w:szCs w:val="18"/>
              </w:rPr>
              <w:t xml:space="preserve"> of stay in intensive care (days), median (range)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2 (1-12)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2 (1-5)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F4CB8" w:rsidRPr="003446EF" w:rsidRDefault="00FF4CB8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3446EF">
              <w:rPr>
                <w:rFonts w:cs="Times New Roman"/>
                <w:bCs/>
                <w:szCs w:val="18"/>
              </w:rPr>
              <w:t>2 (1-12)</w:t>
            </w:r>
          </w:p>
        </w:tc>
      </w:tr>
      <w:tr w:rsidR="00DF1C1F" w:rsidRPr="007F143A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53" w:type="dxa"/>
            <w:tcBorders>
              <w:bottom w:val="single" w:sz="4" w:space="0" w:color="auto"/>
            </w:tcBorders>
          </w:tcPr>
          <w:p w:rsidR="00DF1C1F" w:rsidRPr="003446EF" w:rsidRDefault="00DF1C1F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proofErr w:type="spellStart"/>
            <w:r w:rsidRPr="003446EF">
              <w:rPr>
                <w:rFonts w:cs="Times New Roman"/>
                <w:bCs/>
                <w:szCs w:val="18"/>
                <w:vertAlign w:val="superscript"/>
              </w:rPr>
              <w:t>a</w:t>
            </w:r>
            <w:r w:rsidRPr="003446EF">
              <w:rPr>
                <w:rFonts w:cs="Times New Roman"/>
                <w:bCs/>
                <w:szCs w:val="18"/>
              </w:rPr>
              <w:t>Visual</w:t>
            </w:r>
            <w:proofErr w:type="spellEnd"/>
            <w:r w:rsidRPr="003446EF">
              <w:rPr>
                <w:rFonts w:cs="Times New Roman"/>
                <w:bCs/>
                <w:szCs w:val="18"/>
              </w:rPr>
              <w:t xml:space="preserve"> disturbance (double vision) (n=1), coagulation disturbances with bleeding (hematemesis) and hypotension (n=1), hyperthermia (n=1), hypothermia (n=1), minimal rise in liver enzymes (n=1)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DF1C1F" w:rsidRPr="003446EF" w:rsidRDefault="00DF1C1F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DF1C1F" w:rsidRPr="003446EF" w:rsidRDefault="00DF1C1F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F1C1F" w:rsidRPr="003446EF" w:rsidRDefault="00DF1C1F" w:rsidP="00FF4CB8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1C"/>
    <w:rsid w:val="00060201"/>
    <w:rsid w:val="0008241C"/>
    <w:rsid w:val="00386280"/>
    <w:rsid w:val="00605B59"/>
    <w:rsid w:val="00736294"/>
    <w:rsid w:val="00920797"/>
    <w:rsid w:val="00A1186F"/>
    <w:rsid w:val="00DF1C1F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DE3D3-084E-4882-9090-42819A3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5">
    <w:name w:val="APJMT25"/>
    <w:basedOn w:val="TableNormal"/>
    <w:uiPriority w:val="99"/>
    <w:rsid w:val="00FF4CB8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26">
    <w:name w:val="APJMT26"/>
    <w:basedOn w:val="TableNormal"/>
    <w:uiPriority w:val="99"/>
    <w:rsid w:val="00FF4CB8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2021-06-24T23:41:00Z</dcterms:created>
  <dcterms:modified xsi:type="dcterms:W3CDTF">2021-06-24T23:41:00Z</dcterms:modified>
</cp:coreProperties>
</file>