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4905" w:type="dxa"/>
        <w:tblLook w:val="04A0" w:firstRow="1" w:lastRow="0" w:firstColumn="1" w:lastColumn="0" w:noHBand="0" w:noVBand="1"/>
      </w:tblPr>
      <w:tblGrid>
        <w:gridCol w:w="1985"/>
        <w:gridCol w:w="1460"/>
        <w:gridCol w:w="1460"/>
      </w:tblGrid>
      <w:tr w:rsidR="001B5826" w:rsidRPr="00CE62A6" w:rsidTr="00FE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color w:val="0E101A"/>
                <w:szCs w:val="18"/>
              </w:rPr>
            </w:pPr>
            <w:r w:rsidRPr="00CE62A6">
              <w:rPr>
                <w:rFonts w:cs="Times New Roman"/>
                <w:color w:val="0E101A"/>
                <w:szCs w:val="18"/>
                <w:lang w:val="en"/>
              </w:rPr>
              <w:t>Table 2. Distribution of agents causing acute poisoning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bookmarkStart w:id="0" w:name="_Hlk69050545"/>
            <w:r w:rsidRPr="00CE62A6">
              <w:rPr>
                <w:rFonts w:cs="Times New Roman"/>
                <w:bCs/>
                <w:color w:val="0E101A"/>
                <w:szCs w:val="18"/>
              </w:rPr>
              <w:t>Agent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No. of Children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% of Children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Different types of drugs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33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31.4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Methadone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17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16.2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Tramadol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2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1.9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Buprenorphine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2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1.9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proofErr w:type="spellStart"/>
            <w:r w:rsidRPr="00CE62A6">
              <w:rPr>
                <w:rFonts w:cs="Times New Roman"/>
                <w:bCs/>
                <w:color w:val="0E101A"/>
                <w:szCs w:val="18"/>
              </w:rPr>
              <w:t>Opiets</w:t>
            </w:r>
            <w:proofErr w:type="spellEnd"/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6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5.7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Methamphetamine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0.95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Caustic substances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31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29.5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Hydrocarbons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4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3.8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Pesticides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6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5.7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Alcohol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1.9</w:t>
            </w:r>
          </w:p>
        </w:tc>
      </w:tr>
      <w:tr w:rsidR="001B5826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CE62A6">
              <w:rPr>
                <w:rFonts w:cs="Times New Roman"/>
                <w:bCs/>
                <w:szCs w:val="18"/>
              </w:rPr>
              <w:t>Carbon Monoxide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1</w:t>
            </w:r>
          </w:p>
        </w:tc>
        <w:tc>
          <w:tcPr>
            <w:tcW w:w="1460" w:type="dxa"/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0.95</w:t>
            </w:r>
          </w:p>
        </w:tc>
      </w:tr>
      <w:tr w:rsidR="001B5826" w:rsidRPr="00CE62A6" w:rsidTr="00FE1D40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</w:tcPr>
          <w:p w:rsidR="001B5826" w:rsidRPr="00CE62A6" w:rsidRDefault="001B5826" w:rsidP="00FE1D40">
            <w:pPr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Total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105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B5826" w:rsidRPr="00CE62A6" w:rsidRDefault="001B5826" w:rsidP="00FE1D40">
            <w:pPr>
              <w:contextualSpacing/>
              <w:mirrorIndents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100</w:t>
            </w:r>
          </w:p>
        </w:tc>
      </w:tr>
    </w:tbl>
    <w:p w:rsidR="00920797" w:rsidRDefault="00920797">
      <w:bookmarkStart w:id="1" w:name="_GoBack"/>
      <w:bookmarkEnd w:id="0"/>
      <w:bookmarkEnd w:id="1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9"/>
    <w:rsid w:val="001B5826"/>
    <w:rsid w:val="00386280"/>
    <w:rsid w:val="00605B59"/>
    <w:rsid w:val="00920797"/>
    <w:rsid w:val="009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C19E7-A01D-4893-A825-B7175A8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1B5826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2021-06-25T15:30:00Z</dcterms:created>
  <dcterms:modified xsi:type="dcterms:W3CDTF">2021-06-25T15:30:00Z</dcterms:modified>
</cp:coreProperties>
</file>