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9"/>
        <w:tblW w:w="4905" w:type="dxa"/>
        <w:tblLayout w:type="fixed"/>
        <w:tblLook w:val="04A0" w:firstRow="1" w:lastRow="0" w:firstColumn="1" w:lastColumn="0" w:noHBand="0" w:noVBand="1"/>
      </w:tblPr>
      <w:tblGrid>
        <w:gridCol w:w="2102"/>
        <w:gridCol w:w="1442"/>
        <w:gridCol w:w="1361"/>
      </w:tblGrid>
      <w:tr w:rsidR="00C44909" w:rsidRPr="00E07FC0" w:rsidTr="0010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C44909" w:rsidRPr="00E07FC0" w:rsidRDefault="00C44909" w:rsidP="001039B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Table 1</w:t>
            </w:r>
            <w:bookmarkStart w:id="0" w:name="_GoBack"/>
            <w:r w:rsidRPr="00E07FC0">
              <w:rPr>
                <w:rFonts w:cs="Times New Roman"/>
                <w:bCs/>
                <w:szCs w:val="18"/>
              </w:rPr>
              <w:t>.</w:t>
            </w:r>
            <w:r w:rsidRPr="00E07FC0">
              <w:rPr>
                <w:rFonts w:cs="Times New Roman"/>
                <w:szCs w:val="18"/>
              </w:rPr>
              <w:t xml:space="preserve"> </w:t>
            </w:r>
            <w:proofErr w:type="spellStart"/>
            <w:r w:rsidRPr="00E07FC0">
              <w:rPr>
                <w:rFonts w:cs="Times New Roman"/>
                <w:szCs w:val="18"/>
              </w:rPr>
              <w:t>Clinico</w:t>
            </w:r>
            <w:proofErr w:type="spellEnd"/>
            <w:r w:rsidRPr="00E07FC0">
              <w:rPr>
                <w:rFonts w:cs="Times New Roman"/>
                <w:szCs w:val="18"/>
              </w:rPr>
              <w:t xml:space="preserve">-demographic profile of patients in </w:t>
            </w:r>
            <w:proofErr w:type="spellStart"/>
            <w:r w:rsidRPr="00E07FC0">
              <w:rPr>
                <w:rFonts w:cs="Times New Roman"/>
                <w:szCs w:val="18"/>
              </w:rPr>
              <w:t>hexaconazole</w:t>
            </w:r>
            <w:proofErr w:type="spellEnd"/>
            <w:r w:rsidRPr="00E07FC0">
              <w:rPr>
                <w:rFonts w:cs="Times New Roman"/>
                <w:szCs w:val="18"/>
              </w:rPr>
              <w:t xml:space="preserve"> poisoning</w:t>
            </w:r>
            <w:bookmarkEnd w:id="0"/>
          </w:p>
        </w:tc>
      </w:tr>
      <w:tr w:rsidR="00C44909" w:rsidRPr="00E07FC0" w:rsidTr="001039BC">
        <w:trPr>
          <w:trHeight w:val="283"/>
        </w:trPr>
        <w:tc>
          <w:tcPr>
            <w:tcW w:w="3544" w:type="dxa"/>
            <w:gridSpan w:val="2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proofErr w:type="spellStart"/>
            <w:r w:rsidRPr="00E07FC0">
              <w:rPr>
                <w:rFonts w:cs="Times New Roman"/>
                <w:bCs/>
                <w:szCs w:val="18"/>
              </w:rPr>
              <w:t>Clinico</w:t>
            </w:r>
            <w:proofErr w:type="spellEnd"/>
            <w:r w:rsidRPr="00E07FC0">
              <w:rPr>
                <w:rFonts w:cs="Times New Roman"/>
                <w:bCs/>
                <w:szCs w:val="18"/>
              </w:rPr>
              <w:t>-demographic parameter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07FC0">
              <w:rPr>
                <w:rFonts w:cs="Times New Roman"/>
                <w:bCs/>
                <w:szCs w:val="18"/>
              </w:rPr>
              <w:t>Number of patients (%)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 w:val="restart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Gender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Male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12 (46.15%)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Female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14 (53.84%)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 w:val="restart"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Month of poisoning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January to March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14(53.84%)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April to June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4(15.38%)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July to September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0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Oct to December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8(30.76%)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 w:val="restart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Time of poisoning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 xml:space="preserve">6 </w:t>
            </w:r>
            <w:proofErr w:type="spellStart"/>
            <w:r w:rsidRPr="00E07FC0">
              <w:rPr>
                <w:rFonts w:cs="Times New Roman"/>
                <w:szCs w:val="18"/>
              </w:rPr>
              <w:t>a.m</w:t>
            </w:r>
            <w:proofErr w:type="spellEnd"/>
            <w:r w:rsidRPr="00E07FC0">
              <w:rPr>
                <w:rFonts w:cs="Times New Roman"/>
                <w:szCs w:val="18"/>
              </w:rPr>
              <w:t xml:space="preserve"> to 12 </w:t>
            </w:r>
            <w:proofErr w:type="spellStart"/>
            <w:r w:rsidRPr="00E07FC0">
              <w:rPr>
                <w:rFonts w:cs="Times New Roman"/>
                <w:szCs w:val="18"/>
              </w:rPr>
              <w:t>p.m</w:t>
            </w:r>
            <w:proofErr w:type="spellEnd"/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6(23.06%)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 xml:space="preserve">12 </w:t>
            </w:r>
            <w:proofErr w:type="spellStart"/>
            <w:r w:rsidRPr="00E07FC0">
              <w:rPr>
                <w:rFonts w:cs="Times New Roman"/>
                <w:szCs w:val="18"/>
              </w:rPr>
              <w:t>p.m</w:t>
            </w:r>
            <w:proofErr w:type="spellEnd"/>
            <w:r w:rsidRPr="00E07FC0">
              <w:rPr>
                <w:rFonts w:cs="Times New Roman"/>
                <w:szCs w:val="18"/>
              </w:rPr>
              <w:t xml:space="preserve"> to 6 </w:t>
            </w:r>
            <w:proofErr w:type="spellStart"/>
            <w:r w:rsidRPr="00E07FC0">
              <w:rPr>
                <w:rFonts w:cs="Times New Roman"/>
                <w:szCs w:val="18"/>
              </w:rPr>
              <w:t>p.m</w:t>
            </w:r>
            <w:proofErr w:type="spellEnd"/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8(30.76%)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 xml:space="preserve">6 </w:t>
            </w:r>
            <w:proofErr w:type="spellStart"/>
            <w:r w:rsidRPr="00E07FC0">
              <w:rPr>
                <w:rFonts w:cs="Times New Roman"/>
                <w:szCs w:val="18"/>
              </w:rPr>
              <w:t>p.m</w:t>
            </w:r>
            <w:proofErr w:type="spellEnd"/>
            <w:r w:rsidRPr="00E07FC0">
              <w:rPr>
                <w:rFonts w:cs="Times New Roman"/>
                <w:szCs w:val="18"/>
              </w:rPr>
              <w:t xml:space="preserve"> to 6 </w:t>
            </w:r>
            <w:proofErr w:type="spellStart"/>
            <w:r w:rsidRPr="00E07FC0">
              <w:rPr>
                <w:rFonts w:cs="Times New Roman"/>
                <w:szCs w:val="18"/>
              </w:rPr>
              <w:t>a.m</w:t>
            </w:r>
            <w:proofErr w:type="spellEnd"/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12(46.15%)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 w:val="restart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Place of residence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Rural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24(92.3%)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Urban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2(7.6%)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 w:val="restart"/>
            <w:shd w:val="clear" w:color="auto" w:fill="D9D9D9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Occupation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Student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5(19.23%)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Housewife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13(50 %)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  <w:shd w:val="clear" w:color="auto" w:fill="D9D9D9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Farmer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6(23.06%)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Others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2(7.69%)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 w:val="restart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Marital status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Unmarried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8(30.76%)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Married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18(69.23%)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 w:val="restart"/>
            <w:shd w:val="clear" w:color="auto" w:fill="D9D9D9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 xml:space="preserve">Socioeconomic status (Modified </w:t>
            </w:r>
            <w:proofErr w:type="spellStart"/>
            <w:r w:rsidRPr="00E07FC0">
              <w:rPr>
                <w:rFonts w:cs="Times New Roman"/>
                <w:szCs w:val="18"/>
              </w:rPr>
              <w:t>Kuppuswamy</w:t>
            </w:r>
            <w:proofErr w:type="spellEnd"/>
            <w:r w:rsidRPr="00E07FC0">
              <w:rPr>
                <w:rFonts w:cs="Times New Roman"/>
                <w:szCs w:val="18"/>
              </w:rPr>
              <w:t xml:space="preserve"> scale updated for February 2019) </w:t>
            </w:r>
            <w:r w:rsidRPr="00E07FC0">
              <w:rPr>
                <w:rFonts w:cs="Times New Roman"/>
                <w:szCs w:val="18"/>
                <w:vertAlign w:val="superscript"/>
              </w:rPr>
              <w:t>9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Upper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0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Upper middle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0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  <w:shd w:val="clear" w:color="auto" w:fill="D9D9D9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Lower middle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2(7.69%)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Upper lower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16(61.5%)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  <w:shd w:val="clear" w:color="auto" w:fill="D9D9D9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Lower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8(30.76%)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 w:val="restart"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Intent  of poisoning</w:t>
            </w: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Suicidal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26(100%)</w:t>
            </w:r>
          </w:p>
        </w:tc>
      </w:tr>
      <w:tr w:rsidR="00C44909" w:rsidRPr="00E07FC0" w:rsidTr="001039BC">
        <w:trPr>
          <w:trHeight w:val="283"/>
        </w:trPr>
        <w:tc>
          <w:tcPr>
            <w:tcW w:w="2102" w:type="dxa"/>
            <w:vMerge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Accidental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0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02" w:type="dxa"/>
            <w:vMerge/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42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Homicidal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0</w:t>
            </w:r>
          </w:p>
        </w:tc>
      </w:tr>
      <w:tr w:rsidR="00C44909" w:rsidRPr="00E07FC0" w:rsidTr="001039BC">
        <w:trPr>
          <w:trHeight w:val="283"/>
        </w:trPr>
        <w:tc>
          <w:tcPr>
            <w:tcW w:w="3544" w:type="dxa"/>
            <w:gridSpan w:val="2"/>
            <w:shd w:val="clear" w:color="auto" w:fill="D9D9D9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 xml:space="preserve">Amount of poison consumed (Mean </w:t>
            </w:r>
            <w:r w:rsidRPr="00E07FC0">
              <w:rPr>
                <w:rFonts w:cs="Times New Roman"/>
                <w:szCs w:val="18"/>
                <w:u w:val="single"/>
              </w:rPr>
              <w:t>+</w:t>
            </w:r>
            <w:r w:rsidRPr="00E07FC0">
              <w:rPr>
                <w:rFonts w:cs="Times New Roman"/>
                <w:szCs w:val="18"/>
              </w:rPr>
              <w:t xml:space="preserve"> SD)</w:t>
            </w:r>
          </w:p>
        </w:tc>
        <w:tc>
          <w:tcPr>
            <w:tcW w:w="1361" w:type="dxa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color w:val="000000"/>
                <w:szCs w:val="18"/>
                <w:shd w:val="clear" w:color="auto" w:fill="FFFFFF"/>
              </w:rPr>
              <w:t xml:space="preserve">85.625 </w:t>
            </w:r>
            <w:r w:rsidRPr="00E07FC0">
              <w:rPr>
                <w:rFonts w:cs="Times New Roman"/>
                <w:color w:val="000000"/>
                <w:szCs w:val="18"/>
                <w:u w:val="single"/>
                <w:shd w:val="clear" w:color="auto" w:fill="FFFFFF"/>
              </w:rPr>
              <w:t>+</w:t>
            </w:r>
            <w:r w:rsidRPr="00E07FC0">
              <w:rPr>
                <w:rFonts w:cs="Times New Roman"/>
                <w:bCs/>
                <w:color w:val="000000"/>
                <w:szCs w:val="18"/>
                <w:shd w:val="clear" w:color="auto" w:fill="FFFFFF"/>
              </w:rPr>
              <w:t>60.59 ml</w:t>
            </w:r>
          </w:p>
        </w:tc>
      </w:tr>
      <w:tr w:rsidR="00C44909" w:rsidRPr="00E07FC0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07FC0">
              <w:rPr>
                <w:i/>
                <w:iCs/>
              </w:rPr>
              <w:t xml:space="preserve">Time elapsed </w:t>
            </w:r>
            <w:r w:rsidRPr="00E07FC0">
              <w:rPr>
                <w:rFonts w:cs="Times New Roman"/>
                <w:szCs w:val="18"/>
              </w:rPr>
              <w:t>between </w:t>
            </w:r>
            <w:r w:rsidRPr="00E07FC0">
              <w:rPr>
                <w:i/>
                <w:iCs/>
              </w:rPr>
              <w:t>pesticide</w:t>
            </w:r>
            <w:r w:rsidRPr="00E07FC0">
              <w:rPr>
                <w:rFonts w:cs="Times New Roman"/>
                <w:szCs w:val="18"/>
              </w:rPr>
              <w:t> ingestion and hospitalization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C44909" w:rsidRPr="00E07FC0" w:rsidRDefault="00C44909" w:rsidP="001039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07FC0">
              <w:rPr>
                <w:rFonts w:cs="Times New Roman"/>
                <w:szCs w:val="18"/>
              </w:rPr>
              <w:t>118.5 +63.56  minutes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9"/>
    <w:rsid w:val="00386280"/>
    <w:rsid w:val="00605B59"/>
    <w:rsid w:val="00920797"/>
    <w:rsid w:val="00C4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9A36-6921-493C-B603-5BF81BD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909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C4490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2021-06-25T15:47:00Z</dcterms:created>
  <dcterms:modified xsi:type="dcterms:W3CDTF">2021-06-25T15:48:00Z</dcterms:modified>
</cp:coreProperties>
</file>