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1"/>
        <w:tblW w:w="10149" w:type="dxa"/>
        <w:jc w:val="left"/>
        <w:tblLook w:val="04A0" w:firstRow="1" w:lastRow="0" w:firstColumn="1" w:lastColumn="0" w:noHBand="0" w:noVBand="1"/>
      </w:tblPr>
      <w:tblGrid>
        <w:gridCol w:w="2052"/>
        <w:gridCol w:w="1574"/>
        <w:gridCol w:w="2611"/>
        <w:gridCol w:w="2127"/>
        <w:gridCol w:w="1785"/>
      </w:tblGrid>
      <w:tr w:rsidR="00575995" w:rsidRPr="00A85E2F" w:rsidTr="00103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10149" w:type="dxa"/>
            <w:gridSpan w:val="5"/>
          </w:tcPr>
          <w:p w:rsidR="00575995" w:rsidRPr="00A85E2F" w:rsidRDefault="00575995" w:rsidP="001039BC">
            <w:pPr>
              <w:spacing w:after="20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Table 3</w:t>
            </w:r>
            <w:r w:rsidRPr="00A85E2F">
              <w:rPr>
                <w:rFonts w:cs="Times New Roman"/>
                <w:bCs/>
                <w:szCs w:val="18"/>
              </w:rPr>
              <w:t xml:space="preserve">. </w:t>
            </w:r>
            <w:bookmarkStart w:id="0" w:name="_GoBack"/>
            <w:r w:rsidRPr="00A85E2F">
              <w:rPr>
                <w:rFonts w:cs="Times New Roman"/>
                <w:szCs w:val="18"/>
              </w:rPr>
              <w:t xml:space="preserve">Biochemical and hematological parameters in </w:t>
            </w:r>
            <w:proofErr w:type="spellStart"/>
            <w:r w:rsidRPr="00A85E2F">
              <w:rPr>
                <w:rFonts w:cs="Times New Roman"/>
                <w:szCs w:val="18"/>
              </w:rPr>
              <w:t>hexaconazole</w:t>
            </w:r>
            <w:proofErr w:type="spellEnd"/>
            <w:r w:rsidRPr="00A85E2F">
              <w:rPr>
                <w:rFonts w:cs="Times New Roman"/>
                <w:szCs w:val="18"/>
              </w:rPr>
              <w:t xml:space="preserve"> poisoning</w:t>
            </w:r>
            <w:bookmarkEnd w:id="0"/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85E2F">
              <w:rPr>
                <w:rFonts w:cs="Times New Roman"/>
                <w:bCs/>
                <w:szCs w:val="18"/>
              </w:rPr>
              <w:t>Parameter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85E2F">
              <w:rPr>
                <w:rFonts w:cs="Times New Roman"/>
                <w:bCs/>
                <w:szCs w:val="18"/>
              </w:rPr>
              <w:t>At the time of admission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85E2F">
              <w:rPr>
                <w:rFonts w:cs="Times New Roman"/>
                <w:bCs/>
                <w:szCs w:val="18"/>
              </w:rPr>
              <w:t>After 72 hours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A85E2F">
              <w:rPr>
                <w:rFonts w:cs="Times New Roman"/>
                <w:bCs/>
                <w:szCs w:val="18"/>
              </w:rPr>
              <w:t>p value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proofErr w:type="spellStart"/>
            <w:r w:rsidRPr="00A85E2F">
              <w:rPr>
                <w:rFonts w:cs="Times New Roman"/>
                <w:szCs w:val="18"/>
              </w:rPr>
              <w:t>Hb</w:t>
            </w:r>
            <w:proofErr w:type="spellEnd"/>
            <w:r w:rsidRPr="00A85E2F">
              <w:rPr>
                <w:rFonts w:cs="Times New Roman"/>
                <w:szCs w:val="18"/>
              </w:rPr>
              <w:t xml:space="preserve"> % (g/dl)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 xml:space="preserve">12.76 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1.29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 xml:space="preserve">12.87 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1.21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color w:val="000000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.18</w:t>
            </w:r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TWBC (x10</w:t>
            </w:r>
            <w:r w:rsidRPr="00A85E2F">
              <w:rPr>
                <w:rFonts w:cs="Times New Roman"/>
                <w:szCs w:val="18"/>
                <w:vertAlign w:val="superscript"/>
              </w:rPr>
              <w:t>9</w:t>
            </w:r>
            <w:r w:rsidRPr="00A85E2F">
              <w:rPr>
                <w:rFonts w:cs="Times New Roman"/>
                <w:szCs w:val="18"/>
              </w:rPr>
              <w:t>/L)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 xml:space="preserve">12.75 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3.63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 xml:space="preserve">9.79 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1.21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.5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TRBC (million cells/</w:t>
            </w:r>
            <w:proofErr w:type="spellStart"/>
            <w:r w:rsidRPr="00A85E2F">
              <w:rPr>
                <w:rFonts w:cs="Times New Roman"/>
                <w:szCs w:val="18"/>
              </w:rPr>
              <w:t>mcL</w:t>
            </w:r>
            <w:proofErr w:type="spellEnd"/>
            <w:r w:rsidRPr="00A85E2F">
              <w:rPr>
                <w:rFonts w:cs="Times New Roman"/>
                <w:szCs w:val="18"/>
              </w:rPr>
              <w:t>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4.605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0.45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4.697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0.69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0.37195</w:t>
            </w:r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Platelet count (lakhs/</w:t>
            </w:r>
            <w:proofErr w:type="spellStart"/>
            <w:r w:rsidRPr="00A85E2F">
              <w:rPr>
                <w:rFonts w:cs="Times New Roman"/>
                <w:szCs w:val="18"/>
              </w:rPr>
              <w:t>mcL</w:t>
            </w:r>
            <w:proofErr w:type="spellEnd"/>
            <w:r w:rsidRPr="00A85E2F">
              <w:rPr>
                <w:rFonts w:cs="Times New Roman"/>
                <w:szCs w:val="18"/>
              </w:rPr>
              <w:t>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2.495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0.67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2.625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0.56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0.33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ESR (mm/</w:t>
            </w:r>
            <w:proofErr w:type="spellStart"/>
            <w:r w:rsidRPr="00A85E2F">
              <w:rPr>
                <w:rFonts w:cs="Times New Roman"/>
                <w:szCs w:val="18"/>
              </w:rPr>
              <w:t>hr</w:t>
            </w:r>
            <w:proofErr w:type="spellEnd"/>
            <w:r w:rsidRPr="00A85E2F">
              <w:rPr>
                <w:rFonts w:cs="Times New Roman"/>
                <w:szCs w:val="18"/>
              </w:rPr>
              <w:t>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19.9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6.00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17.2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color w:val="000000"/>
                <w:szCs w:val="18"/>
              </w:rPr>
              <w:t> 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6.06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.177</w:t>
            </w:r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Serum bilirubin (mg/</w:t>
            </w:r>
            <w:proofErr w:type="spellStart"/>
            <w:r w:rsidRPr="00A85E2F">
              <w:rPr>
                <w:rFonts w:cs="Times New Roman"/>
                <w:szCs w:val="18"/>
              </w:rPr>
              <w:t>dL</w:t>
            </w:r>
            <w:proofErr w:type="spellEnd"/>
            <w:r w:rsidRPr="00A85E2F">
              <w:rPr>
                <w:rFonts w:cs="Times New Roman"/>
                <w:szCs w:val="18"/>
              </w:rPr>
              <w:t>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0.89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0.14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0.95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0.18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.22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Serum AST (IU/L)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28.4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8.46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31.7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10.80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.24</w:t>
            </w:r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Serum ALT (IU/L)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22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5.79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31.74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11.76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0.019*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Serum alkaline phosphatase (IU/L)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89.6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21.40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90.22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15.75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0.47</w:t>
            </w:r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Serum creatinine (mg/</w:t>
            </w:r>
            <w:proofErr w:type="spellStart"/>
            <w:r w:rsidRPr="00A85E2F">
              <w:rPr>
                <w:rFonts w:cs="Times New Roman"/>
                <w:szCs w:val="18"/>
              </w:rPr>
              <w:t>dL</w:t>
            </w:r>
            <w:proofErr w:type="spellEnd"/>
            <w:r w:rsidRPr="00A85E2F">
              <w:rPr>
                <w:rFonts w:cs="Times New Roman"/>
                <w:szCs w:val="18"/>
              </w:rPr>
              <w:t>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0.96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0.111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0.99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0.07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0.25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626" w:type="dxa"/>
            <w:gridSpan w:val="2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Serum urea (mg/</w:t>
            </w:r>
            <w:proofErr w:type="spellStart"/>
            <w:r w:rsidRPr="00A85E2F">
              <w:rPr>
                <w:rFonts w:cs="Times New Roman"/>
                <w:szCs w:val="18"/>
              </w:rPr>
              <w:t>dL</w:t>
            </w:r>
            <w:proofErr w:type="spellEnd"/>
            <w:r w:rsidRPr="00A85E2F">
              <w:rPr>
                <w:rFonts w:cs="Times New Roman"/>
                <w:szCs w:val="18"/>
              </w:rPr>
              <w:t>)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33.1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7.21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30.3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4.84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0.20</w:t>
            </w:r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2052" w:type="dxa"/>
            <w:vMerge w:val="restart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Plasma Electrolyte</w:t>
            </w:r>
          </w:p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(</w:t>
            </w:r>
            <w:proofErr w:type="spellStart"/>
            <w:r w:rsidRPr="00A85E2F">
              <w:rPr>
                <w:rFonts w:cs="Times New Roman"/>
                <w:szCs w:val="18"/>
              </w:rPr>
              <w:t>mEq</w:t>
            </w:r>
            <w:proofErr w:type="spellEnd"/>
            <w:r w:rsidRPr="00A85E2F">
              <w:rPr>
                <w:rFonts w:cs="Times New Roman"/>
                <w:szCs w:val="18"/>
              </w:rPr>
              <w:t>/L)</w:t>
            </w:r>
          </w:p>
        </w:tc>
        <w:tc>
          <w:tcPr>
            <w:tcW w:w="1574" w:type="dxa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Sodium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142.31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2.05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142.2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2.03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.455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052" w:type="dxa"/>
            <w:vMerge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74" w:type="dxa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Potassium</w:t>
            </w:r>
          </w:p>
        </w:tc>
        <w:tc>
          <w:tcPr>
            <w:tcW w:w="2611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4.17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0.19</w:t>
            </w:r>
          </w:p>
        </w:tc>
        <w:tc>
          <w:tcPr>
            <w:tcW w:w="2127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4.08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0.28</w:t>
            </w:r>
          </w:p>
        </w:tc>
        <w:tc>
          <w:tcPr>
            <w:tcW w:w="1785" w:type="dxa"/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.222</w:t>
            </w:r>
          </w:p>
        </w:tc>
      </w:tr>
      <w:tr w:rsidR="00575995" w:rsidRPr="00A85E2F" w:rsidTr="001039BC">
        <w:trPr>
          <w:trHeight w:val="283"/>
          <w:jc w:val="left"/>
        </w:trPr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Chloride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107.01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5.68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color w:val="000000"/>
                <w:szCs w:val="18"/>
              </w:rPr>
              <w:t>101.19</w:t>
            </w:r>
            <w:r w:rsidRPr="00A85E2F">
              <w:rPr>
                <w:rFonts w:cs="Times New Roman"/>
                <w:color w:val="000000"/>
                <w:szCs w:val="18"/>
                <w:u w:val="single"/>
              </w:rPr>
              <w:t>+</w:t>
            </w:r>
            <w:r w:rsidRPr="00A85E2F">
              <w:rPr>
                <w:rFonts w:cs="Times New Roman"/>
                <w:bCs/>
                <w:color w:val="000000"/>
                <w:szCs w:val="18"/>
              </w:rPr>
              <w:t>5.48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575995" w:rsidRPr="00A85E2F" w:rsidRDefault="00575995" w:rsidP="001039BC">
            <w:pPr>
              <w:contextualSpacing/>
              <w:mirrorIndents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0.02*</w:t>
            </w:r>
          </w:p>
        </w:tc>
      </w:tr>
      <w:tr w:rsidR="00575995" w:rsidRPr="00A85E2F" w:rsidTr="00103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014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AST = Aspartate aminotransferase, ALT = Alanine aminotransferase</w:t>
            </w:r>
          </w:p>
          <w:p w:rsidR="00575995" w:rsidRPr="00A85E2F" w:rsidRDefault="00575995" w:rsidP="001039BC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A85E2F">
              <w:rPr>
                <w:rFonts w:cs="Times New Roman"/>
                <w:szCs w:val="18"/>
              </w:rPr>
              <w:t>*statistically significant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9"/>
    <w:rsid w:val="00386280"/>
    <w:rsid w:val="00575995"/>
    <w:rsid w:val="00605B59"/>
    <w:rsid w:val="00920797"/>
    <w:rsid w:val="00C4490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9A36-6921-493C-B603-5BF81BD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1">
    <w:name w:val="APJMT31"/>
    <w:basedOn w:val="TableNormal"/>
    <w:uiPriority w:val="99"/>
    <w:rsid w:val="00575995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2021-06-25T15:49:00Z</dcterms:created>
  <dcterms:modified xsi:type="dcterms:W3CDTF">2021-06-25T15:49:00Z</dcterms:modified>
</cp:coreProperties>
</file>