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PJMT29"/>
        <w:tblW w:w="10149" w:type="dxa"/>
        <w:tblLook w:val="04A0" w:firstRow="1" w:lastRow="0" w:firstColumn="1" w:lastColumn="0" w:noHBand="0" w:noVBand="1"/>
      </w:tblPr>
      <w:tblGrid>
        <w:gridCol w:w="2977"/>
        <w:gridCol w:w="1793"/>
        <w:gridCol w:w="1793"/>
        <w:gridCol w:w="1793"/>
        <w:gridCol w:w="1793"/>
      </w:tblGrid>
      <w:tr w:rsidR="00AB49AF" w:rsidRPr="00857698" w:rsidTr="008E460C">
        <w:trPr>
          <w:cnfStyle w:val="100000000000" w:firstRow="1" w:lastRow="0" w:firstColumn="0" w:lastColumn="0" w:oddVBand="0" w:evenVBand="0" w:oddHBand="0" w:evenHBand="0" w:firstRowFirstColumn="0" w:firstRowLastColumn="0" w:lastRowFirstColumn="0" w:lastRowLastColumn="0"/>
          <w:trHeight w:val="567"/>
        </w:trPr>
        <w:tc>
          <w:tcPr>
            <w:tcW w:w="10149" w:type="dxa"/>
            <w:gridSpan w:val="5"/>
          </w:tcPr>
          <w:p w:rsidR="00AB49AF" w:rsidRPr="00857698" w:rsidRDefault="00AB49AF" w:rsidP="008E460C">
            <w:pPr>
              <w:autoSpaceDE w:val="0"/>
              <w:autoSpaceDN w:val="0"/>
              <w:adjustRightInd w:val="0"/>
              <w:contextualSpacing/>
              <w:jc w:val="left"/>
              <w:rPr>
                <w:rFonts w:cs="Times New Roman"/>
                <w:bCs/>
                <w:szCs w:val="18"/>
                <w:lang w:val="en-GB" w:eastAsia="en-GB"/>
              </w:rPr>
            </w:pPr>
            <w:r w:rsidRPr="00857698">
              <w:rPr>
                <w:rFonts w:cs="Times New Roman"/>
                <w:bCs/>
                <w:szCs w:val="18"/>
                <w:lang w:val="en-GB" w:eastAsia="en-GB"/>
              </w:rPr>
              <w:t xml:space="preserve">Table 1. </w:t>
            </w:r>
            <w:bookmarkStart w:id="0" w:name="_GoBack"/>
            <w:r w:rsidRPr="00857698">
              <w:rPr>
                <w:rFonts w:cs="Times New Roman"/>
                <w:bCs/>
                <w:szCs w:val="18"/>
                <w:lang w:val="en-GB" w:eastAsia="en-GB"/>
              </w:rPr>
              <w:t>Guideline values for limits of arsenic and other toxic metals in herbal preparations</w:t>
            </w:r>
            <w:bookmarkEnd w:id="0"/>
          </w:p>
        </w:tc>
      </w:tr>
      <w:tr w:rsidR="00AB49AF" w:rsidRPr="00857698" w:rsidTr="008E460C">
        <w:trPr>
          <w:trHeight w:val="283"/>
        </w:trPr>
        <w:tc>
          <w:tcPr>
            <w:tcW w:w="2977"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Guideline</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Arsenic</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Mercury</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Lead</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Units</w:t>
            </w:r>
          </w:p>
        </w:tc>
      </w:tr>
      <w:tr w:rsidR="00AB49AF" w:rsidRPr="00857698" w:rsidTr="008E460C">
        <w:trPr>
          <w:cnfStyle w:val="000000010000" w:firstRow="0" w:lastRow="0" w:firstColumn="0" w:lastColumn="0" w:oddVBand="0" w:evenVBand="0" w:oddHBand="0" w:evenHBand="1" w:firstRowFirstColumn="0" w:firstRowLastColumn="0" w:lastRowFirstColumn="0" w:lastRowLastColumn="0"/>
          <w:trHeight w:val="283"/>
        </w:trPr>
        <w:tc>
          <w:tcPr>
            <w:tcW w:w="2977"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ANSI 173 – ref (4)</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10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20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20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µg/day</w:t>
            </w:r>
          </w:p>
        </w:tc>
      </w:tr>
      <w:tr w:rsidR="00AB49AF" w:rsidRPr="00857698" w:rsidTr="008E460C">
        <w:trPr>
          <w:trHeight w:val="283"/>
        </w:trPr>
        <w:tc>
          <w:tcPr>
            <w:tcW w:w="2977"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JECFA-ref (4)</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150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50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250</w:t>
            </w:r>
          </w:p>
        </w:tc>
        <w:tc>
          <w:tcPr>
            <w:tcW w:w="1793" w:type="dxa"/>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µg/day</w:t>
            </w:r>
          </w:p>
        </w:tc>
      </w:tr>
      <w:tr w:rsidR="00AB49AF" w:rsidRPr="00857698" w:rsidTr="008E460C">
        <w:trPr>
          <w:cnfStyle w:val="000000010000" w:firstRow="0" w:lastRow="0" w:firstColumn="0" w:lastColumn="0" w:oddVBand="0" w:evenVBand="0" w:oddHBand="0" w:evenHBand="1" w:firstRowFirstColumn="0" w:firstRowLastColumn="0" w:lastRowFirstColumn="0" w:lastRowLastColumn="0"/>
          <w:trHeight w:val="283"/>
        </w:trPr>
        <w:tc>
          <w:tcPr>
            <w:tcW w:w="2977" w:type="dxa"/>
            <w:tcBorders>
              <w:bottom w:val="single" w:sz="4" w:space="0" w:color="auto"/>
            </w:tcBorders>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WHO 2007 –ref (10)</w:t>
            </w:r>
          </w:p>
        </w:tc>
        <w:tc>
          <w:tcPr>
            <w:tcW w:w="1793" w:type="dxa"/>
            <w:tcBorders>
              <w:bottom w:val="single" w:sz="4" w:space="0" w:color="auto"/>
            </w:tcBorders>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&lt;5</w:t>
            </w:r>
          </w:p>
        </w:tc>
        <w:tc>
          <w:tcPr>
            <w:tcW w:w="1793" w:type="dxa"/>
            <w:tcBorders>
              <w:bottom w:val="single" w:sz="4" w:space="0" w:color="auto"/>
            </w:tcBorders>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&lt;10</w:t>
            </w:r>
          </w:p>
        </w:tc>
        <w:tc>
          <w:tcPr>
            <w:tcW w:w="1793" w:type="dxa"/>
            <w:tcBorders>
              <w:bottom w:val="single" w:sz="4" w:space="0" w:color="auto"/>
            </w:tcBorders>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&lt;10</w:t>
            </w:r>
          </w:p>
        </w:tc>
        <w:tc>
          <w:tcPr>
            <w:tcW w:w="1793" w:type="dxa"/>
            <w:tcBorders>
              <w:bottom w:val="single" w:sz="4" w:space="0" w:color="auto"/>
            </w:tcBorders>
          </w:tcPr>
          <w:p w:rsidR="00AB49AF" w:rsidRPr="00857698" w:rsidRDefault="00AB49AF" w:rsidP="008E460C">
            <w:pPr>
              <w:autoSpaceDE w:val="0"/>
              <w:autoSpaceDN w:val="0"/>
              <w:adjustRightInd w:val="0"/>
              <w:contextualSpacing/>
              <w:rPr>
                <w:rFonts w:cs="Times New Roman"/>
                <w:szCs w:val="18"/>
                <w:lang w:val="en-GB" w:eastAsia="en-GB"/>
              </w:rPr>
            </w:pPr>
            <w:r w:rsidRPr="00857698">
              <w:rPr>
                <w:rFonts w:cs="Times New Roman"/>
                <w:szCs w:val="18"/>
                <w:lang w:val="en-GB" w:eastAsia="en-GB"/>
              </w:rPr>
              <w:t>mg/kg</w:t>
            </w:r>
          </w:p>
        </w:tc>
      </w:tr>
      <w:tr w:rsidR="00AB49AF" w:rsidRPr="00857698" w:rsidTr="008E460C">
        <w:trPr>
          <w:trHeight w:val="1304"/>
        </w:trPr>
        <w:tc>
          <w:tcPr>
            <w:tcW w:w="10149" w:type="dxa"/>
            <w:gridSpan w:val="5"/>
            <w:tcBorders>
              <w:top w:val="single" w:sz="4" w:space="0" w:color="auto"/>
            </w:tcBorders>
          </w:tcPr>
          <w:p w:rsidR="00AB49AF" w:rsidRPr="00857698" w:rsidRDefault="00AB49AF" w:rsidP="008E460C">
            <w:pPr>
              <w:autoSpaceDE w:val="0"/>
              <w:autoSpaceDN w:val="0"/>
              <w:adjustRightInd w:val="0"/>
              <w:contextualSpacing/>
              <w:jc w:val="left"/>
              <w:rPr>
                <w:rFonts w:cs="Times New Roman"/>
                <w:szCs w:val="18"/>
                <w:lang w:val="en-GB" w:eastAsia="en-GB"/>
              </w:rPr>
            </w:pPr>
            <w:r w:rsidRPr="00857698">
              <w:rPr>
                <w:rFonts w:cs="Times New Roman"/>
                <w:b/>
                <w:bCs/>
                <w:szCs w:val="18"/>
                <w:lang w:val="en-GB" w:eastAsia="en-GB"/>
              </w:rPr>
              <w:t>Key:</w:t>
            </w:r>
            <w:r>
              <w:rPr>
                <w:rFonts w:cs="Times New Roman"/>
                <w:b/>
                <w:bCs/>
                <w:szCs w:val="18"/>
                <w:lang w:val="en-GB" w:eastAsia="en-GB"/>
              </w:rPr>
              <w:t xml:space="preserve"> </w:t>
            </w:r>
            <w:r w:rsidRPr="00857698">
              <w:rPr>
                <w:rFonts w:cs="Times New Roman"/>
                <w:szCs w:val="18"/>
                <w:lang w:val="en-GB" w:eastAsia="en-GB"/>
              </w:rPr>
              <w:t>Guideline values used by the American National Standards Institute (ANSI)/National Sanitation Foundation (NSF) International Dietary Supplement Standard 173 (ANSI 173), listed in ref 4.</w:t>
            </w:r>
          </w:p>
          <w:p w:rsidR="00AB49AF" w:rsidRPr="00857698" w:rsidRDefault="00AB49AF" w:rsidP="008E460C">
            <w:pPr>
              <w:autoSpaceDE w:val="0"/>
              <w:autoSpaceDN w:val="0"/>
              <w:adjustRightInd w:val="0"/>
              <w:contextualSpacing/>
              <w:jc w:val="left"/>
              <w:rPr>
                <w:rFonts w:cs="Times New Roman"/>
                <w:szCs w:val="18"/>
                <w:lang w:val="en-GB" w:eastAsia="en-GB"/>
              </w:rPr>
            </w:pPr>
            <w:r w:rsidRPr="00857698">
              <w:rPr>
                <w:rFonts w:cs="Times New Roman"/>
                <w:szCs w:val="18"/>
                <w:lang w:val="en-GB" w:eastAsia="en-GB"/>
              </w:rPr>
              <w:t>The Joint FAO/WHO Expert Committee on Food Additives (JECFA) is an international expert scientific committee that is administered jointly by the Food and Agriculture Organization of the United Nations (FAO) and the World Health Organization (WHO). They give acceptable daily intakes for a 70-kg adult, also quoted in ref 4.</w:t>
            </w:r>
          </w:p>
          <w:p w:rsidR="00AB49AF" w:rsidRPr="00857698" w:rsidRDefault="00AB49AF" w:rsidP="008E460C">
            <w:pPr>
              <w:autoSpaceDE w:val="0"/>
              <w:autoSpaceDN w:val="0"/>
              <w:adjustRightInd w:val="0"/>
              <w:contextualSpacing/>
              <w:jc w:val="left"/>
              <w:rPr>
                <w:rFonts w:cs="Times New Roman"/>
                <w:szCs w:val="18"/>
                <w:lang w:val="en-GB" w:eastAsia="en-GB"/>
              </w:rPr>
            </w:pPr>
            <w:r w:rsidRPr="00857698">
              <w:rPr>
                <w:rFonts w:cs="Times New Roman"/>
                <w:szCs w:val="18"/>
                <w:lang w:val="en-GB" w:eastAsia="en-GB"/>
              </w:rPr>
              <w:t>WHO guidelines for medicinal plants, quotes Malaysian guidelines for finished herbal products, ref 10.</w:t>
            </w:r>
          </w:p>
        </w:tc>
      </w:tr>
    </w:tbl>
    <w:p w:rsidR="00920797" w:rsidRDefault="00920797"/>
    <w:sectPr w:rsidR="00920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F9"/>
    <w:rsid w:val="00386280"/>
    <w:rsid w:val="00605B59"/>
    <w:rsid w:val="00920797"/>
    <w:rsid w:val="00A442F9"/>
    <w:rsid w:val="00AB4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16A1F-2512-45F6-95A6-37463D1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JMT29">
    <w:name w:val="APJMT29"/>
    <w:basedOn w:val="TableNormal"/>
    <w:uiPriority w:val="99"/>
    <w:rsid w:val="00AB49AF"/>
    <w:pPr>
      <w:spacing w:after="0" w:line="240" w:lineRule="auto"/>
      <w:jc w:val="center"/>
    </w:pPr>
    <w:rPr>
      <w:rFonts w:ascii="Times New Roman" w:eastAsia="Calibri" w:hAnsi="Times New Roman" w:cs="B Nazanin"/>
      <w:sz w:val="18"/>
    </w:rPr>
    <w:tblPr>
      <w:tblStyleRowBandSize w:val="1"/>
      <w:jc w:val="center"/>
      <w:tblInd w:w="0" w:type="dxa"/>
      <w:tblCellMar>
        <w:top w:w="0" w:type="dxa"/>
        <w:left w:w="28" w:type="dxa"/>
        <w:bottom w:w="0" w:type="dxa"/>
        <w:right w:w="28" w:type="dxa"/>
      </w:tblCellMar>
    </w:tblPr>
    <w:trPr>
      <w:jc w:val="center"/>
    </w:trPr>
    <w:tcPr>
      <w:vAlign w:val="center"/>
    </w:tcPr>
    <w:tblStylePr w:type="firstRow">
      <w:rPr>
        <w:b/>
      </w:rPr>
      <w:tblPr/>
      <w:tcPr>
        <w:tcBorders>
          <w:bottom w:val="single" w:sz="4" w:space="0" w:color="auto"/>
        </w:tcBorders>
        <w:shd w:val="clear" w:color="auto" w:fill="BFBFBF"/>
      </w:tcPr>
    </w:tblStylePr>
    <w:tblStylePr w:type="lastRow">
      <w:tblPr/>
      <w:tcPr>
        <w:tcBorders>
          <w:bottom w:val="single" w:sz="4" w:space="0" w:color="auto"/>
        </w:tcBorders>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Pack 20 DVDs</dc:creator>
  <cp:keywords/>
  <dc:description/>
  <cp:lastModifiedBy>MRT Pack 20 DVDs</cp:lastModifiedBy>
  <cp:revision>2</cp:revision>
  <dcterms:created xsi:type="dcterms:W3CDTF">2021-06-25T16:30:00Z</dcterms:created>
  <dcterms:modified xsi:type="dcterms:W3CDTF">2021-06-25T16:30:00Z</dcterms:modified>
</cp:coreProperties>
</file>