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A8" w:rsidRDefault="007B2E40">
      <w:r w:rsidRPr="0052229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7C6C7E9" wp14:editId="1FF030AE">
            <wp:extent cx="5943600" cy="2700039"/>
            <wp:effectExtent l="0" t="0" r="0" b="508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4A6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40"/>
    <w:rsid w:val="004A63A8"/>
    <w:rsid w:val="007B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A1D43-D506-4DAD-A539-93FDE8C6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labode\Desktop\Bread\Bread%20review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800"/>
              <a:t>Distribution of mean potassium bromate level across Geopolitical zones in Nigeria</a:t>
            </a:r>
          </a:p>
        </c:rich>
      </c:tx>
      <c:layout>
        <c:manualLayout>
          <c:xMode val="edge"/>
          <c:yMode val="edge"/>
          <c:x val="0.12435001350097299"/>
          <c:y val="2.60303687635574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chemeClr val="dk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3880641539947093E-2"/>
          <c:y val="0.10089590033640161"/>
          <c:w val="0.71106889305835774"/>
          <c:h val="0.78050293796747849"/>
        </c:manualLayout>
      </c:layout>
      <c:lineChart>
        <c:grouping val="standard"/>
        <c:varyColors val="0"/>
        <c:ser>
          <c:idx val="0"/>
          <c:order val="0"/>
          <c:tx>
            <c:strRef>
              <c:f>Sheet2!$Q$1</c:f>
              <c:strCache>
                <c:ptCount val="1"/>
                <c:pt idx="0">
                  <c:v>Lowest Bromate level (µg/g )</c:v>
                </c:pt>
              </c:strCache>
            </c:strRef>
          </c:tx>
          <c:spPr>
            <a:ln w="47625" cap="rnd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6"/>
              </a:solidFill>
              <a:ln w="9525" cap="flat" cmpd="sng" algn="ctr">
                <a:solidFill>
                  <a:schemeClr val="accent6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strRef>
              <c:f>Sheet2!$P$2:$P$8</c:f>
              <c:strCache>
                <c:ptCount val="7"/>
                <c:pt idx="0">
                  <c:v>NAFDAC standard</c:v>
                </c:pt>
                <c:pt idx="1">
                  <c:v>South-South</c:v>
                </c:pt>
                <c:pt idx="2">
                  <c:v>South West</c:v>
                </c:pt>
                <c:pt idx="3">
                  <c:v>North East</c:v>
                </c:pt>
                <c:pt idx="4">
                  <c:v>South-East</c:v>
                </c:pt>
                <c:pt idx="5">
                  <c:v>North Central</c:v>
                </c:pt>
                <c:pt idx="6">
                  <c:v>North West</c:v>
                </c:pt>
              </c:strCache>
            </c:strRef>
          </c:cat>
          <c:val>
            <c:numRef>
              <c:f>Sheet2!$Q$2:$Q$8</c:f>
              <c:numCache>
                <c:formatCode>General</c:formatCode>
                <c:ptCount val="7"/>
                <c:pt idx="0">
                  <c:v>0.02</c:v>
                </c:pt>
                <c:pt idx="1">
                  <c:v>6.79</c:v>
                </c:pt>
                <c:pt idx="2">
                  <c:v>2.08</c:v>
                </c:pt>
                <c:pt idx="3">
                  <c:v>2.5099999999999998</c:v>
                </c:pt>
                <c:pt idx="4">
                  <c:v>1.52</c:v>
                </c:pt>
                <c:pt idx="5">
                  <c:v>1.06</c:v>
                </c:pt>
                <c:pt idx="6">
                  <c:v>5.93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728-4740-894C-5F448DF83F86}"/>
            </c:ext>
          </c:extLst>
        </c:ser>
        <c:ser>
          <c:idx val="1"/>
          <c:order val="1"/>
          <c:tx>
            <c:strRef>
              <c:f>Sheet2!$R$1</c:f>
              <c:strCache>
                <c:ptCount val="1"/>
                <c:pt idx="0">
                  <c:v>Highest bromate level (µg/g )</c:v>
                </c:pt>
              </c:strCache>
            </c:strRef>
          </c:tx>
          <c:spPr>
            <a:ln w="47625" cap="rnd" cmpd="sng" algn="ctr">
              <a:solidFill>
                <a:schemeClr val="accent5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5"/>
              </a:solidFill>
              <a:ln w="9525" cap="flat" cmpd="sng" algn="ctr">
                <a:solidFill>
                  <a:schemeClr val="accent5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strRef>
              <c:f>Sheet2!$P$2:$P$8</c:f>
              <c:strCache>
                <c:ptCount val="7"/>
                <c:pt idx="0">
                  <c:v>NAFDAC standard</c:v>
                </c:pt>
                <c:pt idx="1">
                  <c:v>South-South</c:v>
                </c:pt>
                <c:pt idx="2">
                  <c:v>South West</c:v>
                </c:pt>
                <c:pt idx="3">
                  <c:v>North East</c:v>
                </c:pt>
                <c:pt idx="4">
                  <c:v>South-East</c:v>
                </c:pt>
                <c:pt idx="5">
                  <c:v>North Central</c:v>
                </c:pt>
                <c:pt idx="6">
                  <c:v>North West</c:v>
                </c:pt>
              </c:strCache>
            </c:strRef>
          </c:cat>
          <c:val>
            <c:numRef>
              <c:f>Sheet2!$R$2:$R$8</c:f>
              <c:numCache>
                <c:formatCode>General</c:formatCode>
                <c:ptCount val="7"/>
                <c:pt idx="0">
                  <c:v>0.02</c:v>
                </c:pt>
                <c:pt idx="1">
                  <c:v>19.86</c:v>
                </c:pt>
                <c:pt idx="2">
                  <c:v>22.23</c:v>
                </c:pt>
                <c:pt idx="3">
                  <c:v>11.52</c:v>
                </c:pt>
                <c:pt idx="4">
                  <c:v>5.69</c:v>
                </c:pt>
                <c:pt idx="5">
                  <c:v>7.05</c:v>
                </c:pt>
                <c:pt idx="6">
                  <c:v>45.54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728-4740-894C-5F448DF83F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3906920"/>
        <c:axId val="493906136"/>
      </c:lineChart>
      <c:catAx>
        <c:axId val="493906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93906136"/>
        <c:crosses val="autoZero"/>
        <c:auto val="1"/>
        <c:lblAlgn val="ctr"/>
        <c:lblOffset val="100"/>
        <c:noMultiLvlLbl val="0"/>
      </c:catAx>
      <c:valAx>
        <c:axId val="493906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 Bromate level (µg/g )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1" i="0" u="none" strike="noStrike" kern="1200" baseline="0">
                  <a:solidFill>
                    <a:schemeClr val="dk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9390692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217913385826776"/>
          <c:y val="0.12853783902012247"/>
          <c:w val="0.2011541994750656"/>
          <c:h val="0.6913502478856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>
        <a:lumMod val="85000"/>
      </a:schemeClr>
    </a:solidFill>
    <a:ln w="3175" cap="flat" cmpd="sng" algn="ctr">
      <a:solidFill>
        <a:schemeClr val="tx1"/>
      </a:solidFill>
      <a:prstDash val="solid"/>
      <a:round/>
    </a:ln>
    <a:effectLst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34">
  <cs:axisTitle>
    <cs:lnRef idx="0"/>
    <cs:fillRef idx="0"/>
    <cs:effectRef idx="0"/>
    <cs:fontRef idx="minor">
      <a:schemeClr val="dk1"/>
    </cs:fontRef>
    <cs:defRPr sz="1000" b="1" kern="1200"/>
  </cs:axisTitle>
  <cs:category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categoryAxis>
  <cs:chartArea>
    <cs:lnRef idx="1">
      <a:schemeClr val="dk1">
        <a:tint val="75000"/>
      </a:schemeClr>
    </cs:lnRef>
    <cs:fillRef idx="1">
      <a:schemeClr val="lt1"/>
    </cs:fillRef>
    <cs:effectRef idx="0"/>
    <cs:fontRef idx="minor">
      <a:schemeClr val="dk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dk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1">
      <cs:styleClr val="auto">
        <a:shade val="50000"/>
      </cs:styleClr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>
  <cs:dataPoint3D>
    <cs:lnRef idx="1">
      <cs:styleClr val="auto">
        <a:shade val="50000"/>
      </cs:styleClr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3D>
  <cs:dataPointLine>
    <cs:lnRef idx="1">
      <cs:styleClr val="auto"/>
    </cs:lnRef>
    <cs:lineWidthScale>5</cs:lineWidthScale>
    <cs:fillRef idx="0"/>
    <cs:effectRef idx="0"/>
    <cs:fontRef idx="minor">
      <a:schemeClr val="dk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dk1"/>
    </cs:fontRef>
    <cs:spPr>
      <a:ln>
        <a:round/>
      </a:ln>
    </cs:spPr>
  </cs:dataPointWireframe>
  <cs:dataTable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dataTable>
  <cs:downBar>
    <cs:lnRef idx="1">
      <a:schemeClr val="dk1"/>
    </cs:lnRef>
    <cs:fillRef idx="1">
      <a:schemeClr val="dk1">
        <a:tint val="95000"/>
      </a:schemeClr>
    </cs:fillRef>
    <cs:effectRef idx="0"/>
    <cs:fontRef idx="minor">
      <a:schemeClr val="dk1"/>
    </cs:fontRef>
    <cs:spPr>
      <a:ln>
        <a:round/>
      </a:ln>
    </cs:spPr>
  </cs:downBar>
  <cs:drop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dropLine>
  <cs:errorBar>
    <cs:lnRef idx="1">
      <a:schemeClr val="dk1"/>
    </cs:lnRef>
    <cs:fillRef idx="1">
      <a:schemeClr val="dk1"/>
    </cs:fillRef>
    <cs:effectRef idx="0"/>
    <cs:fontRef idx="minor">
      <a:schemeClr val="dk1"/>
    </cs:fontRef>
    <cs:spPr>
      <a:ln>
        <a:round/>
      </a:ln>
    </cs:spPr>
  </cs:errorBar>
  <cs:floor>
    <cs:lnRef idx="1">
      <a:schemeClr val="dk1">
        <a:tint val="75000"/>
      </a:schemeClr>
    </cs:lnRef>
    <cs:fillRef idx="1">
      <a:schemeClr val="dk1">
        <a:tint val="20000"/>
      </a:schemeClr>
    </cs:fillRef>
    <cs:effectRef idx="0"/>
    <cs:fontRef idx="minor">
      <a:schemeClr val="dk1"/>
    </cs:fontRef>
    <cs:spPr>
      <a:ln>
        <a:round/>
      </a:ln>
    </cs:spPr>
  </cs:floor>
  <cs:gridlineMajor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</cs:gridlineMajor>
  <cs:gridlineMinor>
    <cs:lnRef idx="1">
      <a:schemeClr val="dk1">
        <a:tint val="50000"/>
      </a:schemeClr>
    </cs:lnRef>
    <cs:fillRef idx="0"/>
    <cs:effectRef idx="0"/>
    <cs:fontRef idx="minor">
      <a:schemeClr val="dk1"/>
    </cs:fontRef>
    <cs:spPr>
      <a:ln>
        <a:round/>
      </a:ln>
    </cs:spPr>
  </cs:gridlineMinor>
  <cs:hiLo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hiLoLine>
  <cs:leader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leaderLine>
  <cs:legend>
    <cs:lnRef idx="0"/>
    <cs:fillRef idx="0"/>
    <cs:effectRef idx="0"/>
    <cs:fontRef idx="minor">
      <a:schemeClr val="dk1"/>
    </cs:fontRef>
    <cs:defRPr sz="1000" kern="1200"/>
  </cs:legend>
  <cs:plotArea>
    <cs:lnRef idx="0"/>
    <cs:fillRef idx="1">
      <a:schemeClr val="dk1">
        <a:tint val="20000"/>
      </a:schemeClr>
    </cs:fillRef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seriesAxis>
  <cs:series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seriesLine>
  <cs:title>
    <cs:lnRef idx="0"/>
    <cs:fillRef idx="0"/>
    <cs:effectRef idx="0"/>
    <cs:fontRef idx="minor">
      <a:schemeClr val="dk1"/>
    </cs:fontRef>
    <cs:defRPr sz="1800" b="1" kern="1200"/>
  </cs:title>
  <cs:trendline>
    <cs:lnRef idx="1">
      <a:schemeClr val="dk1"/>
    </cs:lnRef>
    <cs:fillRef idx="0"/>
    <cs:effectRef idx="0"/>
    <cs:fontRef idx="minor">
      <a:schemeClr val="dk1"/>
    </cs:fontRef>
    <cs:spPr>
      <a:ln cap="rnd">
        <a:round/>
      </a:ln>
    </cs:spPr>
  </cs:trendline>
  <cs:trendlineLabel>
    <cs:lnRef idx="0"/>
    <cs:fillRef idx="0"/>
    <cs:effectRef idx="0"/>
    <cs:fontRef idx="minor">
      <a:schemeClr val="dk1"/>
    </cs:fontRef>
    <cs:defRPr sz="1000" kern="1200"/>
  </cs:trendlineLabel>
  <cs:upBar>
    <cs:lnRef idx="1">
      <a:schemeClr val="dk1"/>
    </cs:lnRef>
    <cs:fillRef idx="1">
      <a:schemeClr val="lt1"/>
    </cs:fillRef>
    <cs:effectRef idx="0"/>
    <cs:fontRef idx="minor">
      <a:schemeClr val="dk1"/>
    </cs:fontRef>
    <cs:spPr>
      <a:ln>
        <a:round/>
      </a:ln>
    </cs:spPr>
  </cs:upBar>
  <cs:value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valueAxis>
  <cs:wall>
    <cs:lnRef idx="0"/>
    <cs:fillRef idx="1">
      <a:schemeClr val="dk1">
        <a:tint val="20000"/>
      </a:schemeClr>
    </cs:fillRef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2022-01-07T05:35:00Z</dcterms:created>
  <dcterms:modified xsi:type="dcterms:W3CDTF">2022-01-07T05:35:00Z</dcterms:modified>
</cp:coreProperties>
</file>