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5"/>
        <w:tblW w:w="4905" w:type="dxa"/>
        <w:tblLook w:val="0400" w:firstRow="0" w:lastRow="0" w:firstColumn="0" w:lastColumn="0" w:noHBand="0" w:noVBand="1"/>
      </w:tblPr>
      <w:tblGrid>
        <w:gridCol w:w="3119"/>
        <w:gridCol w:w="1786"/>
      </w:tblGrid>
      <w:tr w:rsidR="003B29C6" w:rsidRPr="000C77DF" w:rsidTr="00740E8B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3B29C6" w:rsidRPr="000C77DF" w:rsidRDefault="003B29C6" w:rsidP="00740E8B">
            <w:pPr>
              <w:keepNext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0C77DF">
              <w:rPr>
                <w:rFonts w:cs="Times New Roman"/>
                <w:b/>
                <w:bCs/>
                <w:sz w:val="16"/>
                <w:szCs w:val="16"/>
              </w:rPr>
              <w:t xml:space="preserve">Table 2. </w:t>
            </w:r>
            <w:bookmarkStart w:id="0" w:name="_GoBack"/>
            <w:r w:rsidRPr="000C77DF">
              <w:rPr>
                <w:rFonts w:cs="Times New Roman"/>
                <w:b/>
                <w:bCs/>
                <w:sz w:val="16"/>
                <w:szCs w:val="16"/>
              </w:rPr>
              <w:t xml:space="preserve">The self-reported drugs in the 47 cases in which the IA was totally negative (or only positive to </w:t>
            </w:r>
            <w:proofErr w:type="spellStart"/>
            <w:r w:rsidRPr="000C77DF">
              <w:rPr>
                <w:rFonts w:cs="Times New Roman"/>
                <w:b/>
                <w:bCs/>
                <w:sz w:val="16"/>
                <w:szCs w:val="16"/>
              </w:rPr>
              <w:t>EtG</w:t>
            </w:r>
            <w:proofErr w:type="spellEnd"/>
            <w:r w:rsidRPr="000C77DF">
              <w:rPr>
                <w:rFonts w:cs="Times New Roman"/>
                <w:b/>
                <w:bCs/>
                <w:sz w:val="16"/>
                <w:szCs w:val="16"/>
              </w:rPr>
              <w:t>).</w:t>
            </w:r>
            <w:bookmarkEnd w:id="0"/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tcBorders>
              <w:top w:val="single" w:sz="4" w:space="0" w:color="auto"/>
            </w:tcBorders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0C77DF">
              <w:rPr>
                <w:rFonts w:cs="Times New Roman"/>
                <w:sz w:val="16"/>
                <w:szCs w:val="16"/>
              </w:rPr>
              <w:t>Drug</w:t>
            </w:r>
          </w:p>
        </w:tc>
        <w:tc>
          <w:tcPr>
            <w:tcW w:w="1821" w:type="pct"/>
            <w:tcBorders>
              <w:top w:val="single" w:sz="4" w:space="0" w:color="auto"/>
            </w:tcBorders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0C77DF">
              <w:rPr>
                <w:rFonts w:cs="Times New Roman"/>
                <w:sz w:val="16"/>
                <w:szCs w:val="16"/>
              </w:rPr>
              <w:t>Frequency of self-reports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GHB* (and related analogues)</w:t>
            </w:r>
          </w:p>
        </w:tc>
        <w:tc>
          <w:tcPr>
            <w:tcW w:w="1821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11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spice</w:t>
            </w:r>
          </w:p>
        </w:tc>
        <w:tc>
          <w:tcPr>
            <w:tcW w:w="1821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11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cocaine</w:t>
            </w:r>
          </w:p>
        </w:tc>
        <w:tc>
          <w:tcPr>
            <w:tcW w:w="1821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7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methamphetamine</w:t>
            </w:r>
          </w:p>
        </w:tc>
        <w:tc>
          <w:tcPr>
            <w:tcW w:w="1821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MDMA**/ecstasy</w:t>
            </w:r>
          </w:p>
        </w:tc>
        <w:tc>
          <w:tcPr>
            <w:tcW w:w="1821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ketamine</w:t>
            </w:r>
          </w:p>
        </w:tc>
        <w:tc>
          <w:tcPr>
            <w:tcW w:w="1821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proofErr w:type="spellStart"/>
            <w:r w:rsidRPr="000C77DF">
              <w:rPr>
                <w:rFonts w:cs="Times New Roman"/>
                <w:sz w:val="16"/>
                <w:szCs w:val="16"/>
                <w:lang w:val="en-GB"/>
              </w:rPr>
              <w:t>mephedrone</w:t>
            </w:r>
            <w:proofErr w:type="spellEnd"/>
          </w:p>
        </w:tc>
        <w:tc>
          <w:tcPr>
            <w:tcW w:w="1821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poppers***</w:t>
            </w:r>
          </w:p>
        </w:tc>
        <w:tc>
          <w:tcPr>
            <w:tcW w:w="1821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cannabis</w:t>
            </w:r>
          </w:p>
        </w:tc>
        <w:tc>
          <w:tcPr>
            <w:tcW w:w="1821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heroin</w:t>
            </w:r>
          </w:p>
        </w:tc>
        <w:tc>
          <w:tcPr>
            <w:tcW w:w="1821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DMT****</w:t>
            </w:r>
          </w:p>
        </w:tc>
        <w:tc>
          <w:tcPr>
            <w:tcW w:w="1821" w:type="pct"/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9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proofErr w:type="spellStart"/>
            <w:r w:rsidRPr="000C77DF">
              <w:rPr>
                <w:rFonts w:cs="Times New Roman"/>
                <w:sz w:val="16"/>
                <w:szCs w:val="16"/>
                <w:lang w:val="en-GB"/>
              </w:rPr>
              <w:t>zopiclone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</w:tr>
      <w:tr w:rsidR="003B29C6" w:rsidRPr="000C77DF" w:rsidTr="00740E8B">
        <w:trPr>
          <w:trHeight w:val="283"/>
        </w:trPr>
        <w:tc>
          <w:tcPr>
            <w:tcW w:w="3179" w:type="pct"/>
            <w:tcBorders>
              <w:bottom w:val="single" w:sz="4" w:space="0" w:color="auto"/>
            </w:tcBorders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LSD*****</w:t>
            </w:r>
          </w:p>
        </w:tc>
        <w:tc>
          <w:tcPr>
            <w:tcW w:w="1821" w:type="pct"/>
            <w:tcBorders>
              <w:bottom w:val="single" w:sz="4" w:space="0" w:color="auto"/>
            </w:tcBorders>
            <w:shd w:val="clear" w:color="auto" w:fill="D9D9D9"/>
          </w:tcPr>
          <w:p w:rsidR="003B29C6" w:rsidRPr="000C77DF" w:rsidRDefault="003B29C6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val="en-GB"/>
              </w:rPr>
            </w:pPr>
            <w:r w:rsidRPr="000C77DF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</w:tr>
      <w:tr w:rsidR="003B29C6" w:rsidRPr="000C77D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B29C6" w:rsidRPr="000C77DF" w:rsidRDefault="003B29C6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* gamma (</w:t>
            </w:r>
            <w:r w:rsidRPr="000C77DF">
              <w:rPr>
                <w:rFonts w:ascii="Cambria Math" w:hAnsi="Cambria Math" w:cs="Cambria Math"/>
                <w:sz w:val="16"/>
                <w:szCs w:val="16"/>
                <w:lang w:val="en-GB" w:eastAsia="en-GB"/>
              </w:rPr>
              <w:t>𝛾</w:t>
            </w:r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)-</w:t>
            </w:r>
            <w:bookmarkStart w:id="1" w:name="_Hlk76167629"/>
            <w:proofErr w:type="spellStart"/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hydroxybutyrate</w:t>
            </w:r>
            <w:bookmarkEnd w:id="1"/>
            <w:proofErr w:type="spellEnd"/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,</w:t>
            </w:r>
          </w:p>
          <w:p w:rsidR="003B29C6" w:rsidRPr="000C77DF" w:rsidRDefault="003B29C6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** 3,4-methylenedioxymetamfetamine</w:t>
            </w:r>
          </w:p>
          <w:p w:rsidR="003B29C6" w:rsidRPr="000C77DF" w:rsidRDefault="003B29C6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 xml:space="preserve">*** </w:t>
            </w:r>
            <w:proofErr w:type="gramStart"/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the</w:t>
            </w:r>
            <w:proofErr w:type="gramEnd"/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 xml:space="preserve"> slang name for “volatile nitrites”.</w:t>
            </w:r>
          </w:p>
          <w:p w:rsidR="003B29C6" w:rsidRPr="000C77DF" w:rsidRDefault="003B29C6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****</w:t>
            </w:r>
            <w:proofErr w:type="spellStart"/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Dimethyltryptamine</w:t>
            </w:r>
            <w:proofErr w:type="spellEnd"/>
          </w:p>
          <w:p w:rsidR="003B29C6" w:rsidRPr="000C77DF" w:rsidRDefault="003B29C6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0C77DF">
              <w:rPr>
                <w:rFonts w:cs="Times New Roman"/>
                <w:sz w:val="16"/>
                <w:szCs w:val="16"/>
                <w:lang w:val="en-GB" w:eastAsia="en-GB"/>
              </w:rPr>
              <w:t>***** lysergic acid diethylamide</w:t>
            </w:r>
          </w:p>
        </w:tc>
      </w:tr>
    </w:tbl>
    <w:p w:rsidR="003F6305" w:rsidRDefault="003F6305"/>
    <w:sectPr w:rsidR="003F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A3"/>
    <w:rsid w:val="003B29C6"/>
    <w:rsid w:val="003F6305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32A0-39FA-4B51-B2E5-A3A9824A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5">
    <w:name w:val="APJMT25"/>
    <w:basedOn w:val="TableNormal"/>
    <w:uiPriority w:val="99"/>
    <w:rsid w:val="003B29C6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2022-03-15T08:11:00Z</dcterms:created>
  <dcterms:modified xsi:type="dcterms:W3CDTF">2022-03-15T08:11:00Z</dcterms:modified>
</cp:coreProperties>
</file>