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1"/>
        <w:tblW w:w="10149" w:type="dxa"/>
        <w:tblLayout w:type="fixed"/>
        <w:tblLook w:val="04A0" w:firstRow="1" w:lastRow="0" w:firstColumn="1" w:lastColumn="0" w:noHBand="0" w:noVBand="1"/>
      </w:tblPr>
      <w:tblGrid>
        <w:gridCol w:w="1233"/>
        <w:gridCol w:w="1233"/>
        <w:gridCol w:w="1234"/>
        <w:gridCol w:w="7"/>
        <w:gridCol w:w="1235"/>
        <w:gridCol w:w="1238"/>
        <w:gridCol w:w="3969"/>
      </w:tblGrid>
      <w:tr w:rsidR="004C70EF" w:rsidRPr="00E9212D" w:rsidTr="00F761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7"/>
          </w:tcPr>
          <w:p w:rsidR="004C70EF" w:rsidRPr="00E9212D" w:rsidRDefault="004C70EF" w:rsidP="00F7616C">
            <w:pPr>
              <w:contextualSpacing/>
              <w:mirrorIndents/>
              <w:jc w:val="left"/>
              <w:textAlignment w:val="top"/>
              <w:rPr>
                <w:rFonts w:cs="Times New Roman"/>
                <w:bCs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Table 4. </w:t>
            </w:r>
            <w:bookmarkStart w:id="0" w:name="_GoBack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The quantity of pesticides retrieved in each case</w:t>
            </w:r>
            <w:bookmarkEnd w:id="0"/>
          </w:p>
        </w:tc>
      </w:tr>
      <w:tr w:rsidR="004C70EF" w:rsidRPr="00E9212D" w:rsidTr="00F7616C">
        <w:trPr>
          <w:trHeight w:val="397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Serial number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Lag time1in minutes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No of cycles of lavage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Quantity of pesticide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Outcome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Other compound detected</w:t>
            </w:r>
          </w:p>
        </w:tc>
      </w:tr>
      <w:tr w:rsidR="004C70EF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2474" w:type="dxa"/>
            <w:gridSpan w:val="3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Chlorpyrifos</w:t>
            </w:r>
            <w:proofErr w:type="spellEnd"/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</w:tr>
      <w:tr w:rsidR="004C70EF" w:rsidRPr="00E9212D" w:rsidTr="00F7616C">
        <w:trPr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360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21.475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Diazinon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(18.685 µg/L)</w:t>
            </w:r>
          </w:p>
        </w:tc>
      </w:tr>
      <w:tr w:rsidR="004C70EF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360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9.168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Survived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Pirimiphos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ethyl (204.5 µg/L), </w:t>
            </w: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Pyridafenthion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(23.76 µg/L)</w:t>
            </w:r>
          </w:p>
        </w:tc>
      </w:tr>
      <w:tr w:rsidR="004C70EF" w:rsidRPr="00E9212D" w:rsidTr="00F7616C">
        <w:trPr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75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7.12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Survived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nil</w:t>
            </w:r>
          </w:p>
        </w:tc>
      </w:tr>
      <w:tr w:rsidR="004C70EF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4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120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11.32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survived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Endosulfan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II (679 µg/L)</w:t>
            </w:r>
          </w:p>
        </w:tc>
      </w:tr>
      <w:tr w:rsidR="004C70EF" w:rsidRPr="00E9212D" w:rsidTr="00F7616C">
        <w:trPr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5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190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110.78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Nil</w:t>
            </w:r>
          </w:p>
        </w:tc>
      </w:tr>
      <w:tr w:rsidR="004C70EF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210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4.635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Endosulfan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I (4.573 µg/L)</w:t>
            </w:r>
          </w:p>
        </w:tc>
      </w:tr>
      <w:tr w:rsidR="004C70EF" w:rsidRPr="00E9212D" w:rsidTr="00F7616C">
        <w:trPr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2474" w:type="dxa"/>
            <w:gridSpan w:val="3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Quinalphos</w:t>
            </w:r>
            <w:proofErr w:type="spellEnd"/>
          </w:p>
        </w:tc>
        <w:tc>
          <w:tcPr>
            <w:tcW w:w="1235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1236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</w:p>
        </w:tc>
      </w:tr>
      <w:tr w:rsidR="004C70EF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205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4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2461.095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Pyrazophos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(9.901 µg/L)</w:t>
            </w:r>
          </w:p>
        </w:tc>
      </w:tr>
      <w:tr w:rsidR="004C70EF" w:rsidRPr="00E9212D" w:rsidTr="00F7616C">
        <w:trPr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120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5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13058.49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survived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Chlorpyrifos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(7.15 µg/L), </w:t>
            </w: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Endosulfan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II (509.6 µg/L)</w:t>
            </w:r>
          </w:p>
        </w:tc>
      </w:tr>
      <w:tr w:rsidR="004C70EF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120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1698.712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nil</w:t>
            </w:r>
          </w:p>
        </w:tc>
      </w:tr>
      <w:tr w:rsidR="004C70EF" w:rsidRPr="00E9212D" w:rsidTr="00F7616C">
        <w:trPr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4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80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1022.534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Diazinon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(176.451 µg/L), </w:t>
            </w: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Pirimiphos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ethyl (132.338 µg/L), </w:t>
            </w: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Azinphos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ethyl (7.463 µg/L)</w:t>
            </w:r>
          </w:p>
        </w:tc>
      </w:tr>
      <w:tr w:rsidR="004C70EF" w:rsidRPr="00E9212D" w:rsidTr="00F761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5</w:t>
            </w:r>
          </w:p>
        </w:tc>
        <w:tc>
          <w:tcPr>
            <w:tcW w:w="1233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180</w:t>
            </w:r>
          </w:p>
        </w:tc>
        <w:tc>
          <w:tcPr>
            <w:tcW w:w="1234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769.9 µg/L</w:t>
            </w:r>
          </w:p>
        </w:tc>
        <w:tc>
          <w:tcPr>
            <w:tcW w:w="1238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Nil</w:t>
            </w:r>
          </w:p>
        </w:tc>
      </w:tr>
      <w:tr w:rsidR="004C70EF" w:rsidRPr="00E9212D" w:rsidTr="00F7616C">
        <w:trPr>
          <w:trHeight w:val="283"/>
        </w:trPr>
        <w:tc>
          <w:tcPr>
            <w:tcW w:w="1234" w:type="dxa"/>
            <w:tcBorders>
              <w:bottom w:val="single" w:sz="4" w:space="0" w:color="auto"/>
            </w:tcBorders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300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1.242 µg/L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Expired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4C70EF" w:rsidRPr="00E9212D" w:rsidRDefault="004C70EF" w:rsidP="00F7616C">
            <w:pPr>
              <w:contextualSpacing/>
              <w:mirrorIndents/>
              <w:textAlignment w:val="top"/>
              <w:rPr>
                <w:rFonts w:cs="Times New Roman"/>
                <w:sz w:val="16"/>
                <w:szCs w:val="16"/>
                <w:lang w:val="en-IN" w:eastAsia="en-IN"/>
              </w:rPr>
            </w:pP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Diazinon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(7.273 µg/L), </w:t>
            </w:r>
            <w:proofErr w:type="spellStart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>Endosulfan</w:t>
            </w:r>
            <w:proofErr w:type="spellEnd"/>
            <w:r w:rsidRPr="00E9212D">
              <w:rPr>
                <w:rFonts w:cs="Times New Roman"/>
                <w:sz w:val="16"/>
                <w:szCs w:val="16"/>
                <w:lang w:val="en-IN" w:eastAsia="en-IN"/>
              </w:rPr>
              <w:t xml:space="preserve"> II (1254.4 µg/L)</w:t>
            </w:r>
          </w:p>
        </w:tc>
      </w:tr>
    </w:tbl>
    <w:p w:rsidR="004D068A" w:rsidRDefault="004D068A"/>
    <w:sectPr w:rsidR="004D0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3C"/>
    <w:rsid w:val="000C575C"/>
    <w:rsid w:val="004C70EF"/>
    <w:rsid w:val="004D068A"/>
    <w:rsid w:val="007143DC"/>
    <w:rsid w:val="00C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99E4D-83BC-4071-9241-BB11002A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4C70E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2022-03-15T19:41:00Z</dcterms:created>
  <dcterms:modified xsi:type="dcterms:W3CDTF">2022-03-15T19:41:00Z</dcterms:modified>
</cp:coreProperties>
</file>