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3"/>
        <w:tblW w:w="10149" w:type="dxa"/>
        <w:tblLook w:val="04A0" w:firstRow="1" w:lastRow="0" w:firstColumn="1" w:lastColumn="0" w:noHBand="0" w:noVBand="1"/>
      </w:tblPr>
      <w:tblGrid>
        <w:gridCol w:w="420"/>
        <w:gridCol w:w="7503"/>
        <w:gridCol w:w="1120"/>
        <w:gridCol w:w="1106"/>
      </w:tblGrid>
      <w:tr w:rsidR="00B52E0D" w:rsidRPr="00EB0F36" w:rsidTr="00997E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4"/>
          </w:tcPr>
          <w:p w:rsidR="00B52E0D" w:rsidRPr="00EB0F36" w:rsidRDefault="00B52E0D" w:rsidP="00997EC0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B0F36">
              <w:rPr>
                <w:rFonts w:cs="Times New Roman"/>
                <w:sz w:val="16"/>
                <w:szCs w:val="16"/>
              </w:rPr>
              <w:t xml:space="preserve">Table 2. </w:t>
            </w:r>
            <w:bookmarkStart w:id="0" w:name="_GoBack"/>
            <w:r w:rsidRPr="00EB0F36">
              <w:rPr>
                <w:rFonts w:cs="Times New Roman"/>
                <w:sz w:val="16"/>
                <w:szCs w:val="16"/>
              </w:rPr>
              <w:t>Studies that adhere to the duration guideline</w:t>
            </w:r>
            <w:bookmarkEnd w:id="0"/>
          </w:p>
        </w:tc>
      </w:tr>
      <w:tr w:rsidR="00B52E0D" w:rsidRPr="00EB0F36" w:rsidTr="00997EC0">
        <w:trPr>
          <w:trHeight w:val="283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S/No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Title of some research articles that adhere to the duration terminology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Approved duration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Reference</w:t>
            </w:r>
          </w:p>
        </w:tc>
      </w:tr>
      <w:tr w:rsidR="00B52E0D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5F1F11">
              <w:rPr>
                <w:rFonts w:cs="Times New Roman"/>
                <w:bCs/>
                <w:sz w:val="16"/>
                <w:szCs w:val="16"/>
              </w:rPr>
              <w:t>Acute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and </w:t>
            </w:r>
            <w:proofErr w:type="spellStart"/>
            <w:r w:rsidRPr="005F1F11">
              <w:rPr>
                <w:rFonts w:cs="Times New Roman"/>
                <w:bCs/>
                <w:i/>
                <w:iCs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Oral Toxicity Evaluation of Aqueous Root Extract of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Dicoma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anomala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Sond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. </w:t>
            </w:r>
            <w:proofErr w:type="gramStart"/>
            <w:r w:rsidRPr="00EB0F36">
              <w:rPr>
                <w:rFonts w:cs="Times New Roman"/>
                <w:bCs/>
                <w:sz w:val="16"/>
                <w:szCs w:val="16"/>
              </w:rPr>
              <w:t>in</w:t>
            </w:r>
            <w:proofErr w:type="gram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Wistar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Rats.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iCs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90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[15]</w:t>
            </w:r>
          </w:p>
        </w:tc>
      </w:tr>
      <w:tr w:rsidR="00B52E0D" w:rsidRPr="00EB0F36" w:rsidTr="00997EC0">
        <w:trPr>
          <w:trHeight w:val="454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Subacute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study of methanol extract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Tetrorchidium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didymostemon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 leaves using biochemical analyses and gene expression in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Wistar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rats.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[7]</w:t>
            </w:r>
          </w:p>
        </w:tc>
      </w:tr>
      <w:tr w:rsidR="00B52E0D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subacute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Studies of the Ethyl Acetate Soluble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Proanthocyanidins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of the Immature Inflorescence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Cocos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nucifera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 L. in Female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Wistar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Rats.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[6]</w:t>
            </w:r>
          </w:p>
        </w:tc>
      </w:tr>
      <w:tr w:rsidR="00B52E0D" w:rsidRPr="00EB0F36" w:rsidTr="00997EC0">
        <w:trPr>
          <w:trHeight w:val="283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studies of the aqueous extract from leaves of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Cistus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ladaniferus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L. in mice and rats.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90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[8]</w:t>
            </w:r>
          </w:p>
        </w:tc>
      </w:tr>
      <w:tr w:rsidR="00B52E0D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Subacute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oral toxicity assessments of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Acridocarpus</w:t>
            </w:r>
            <w:proofErr w:type="spellEnd"/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smeathmannii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(DC.)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Guill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. &amp;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Perr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. </w:t>
            </w:r>
            <w:proofErr w:type="gramStart"/>
            <w:r w:rsidRPr="00EB0F36">
              <w:rPr>
                <w:rFonts w:cs="Times New Roman"/>
                <w:bCs/>
                <w:sz w:val="16"/>
                <w:szCs w:val="16"/>
              </w:rPr>
              <w:t>root</w:t>
            </w:r>
            <w:proofErr w:type="gram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in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Wistar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rats.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and 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>90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[10]</w:t>
            </w:r>
          </w:p>
        </w:tc>
      </w:tr>
      <w:tr w:rsidR="00B52E0D" w:rsidRPr="00EB0F36" w:rsidTr="00997EC0">
        <w:trPr>
          <w:trHeight w:val="454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>chronic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studies of the water extract from dried fruits of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Terminalia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bellerica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Gaertn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.)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Roxb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. In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Spargue-Dawley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rats.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270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>days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(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>9 months</w:t>
            </w:r>
            <w:r w:rsidRPr="00EB0F36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[4]</w:t>
            </w:r>
          </w:p>
        </w:tc>
      </w:tr>
      <w:tr w:rsidR="00B52E0D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tabs>
                <w:tab w:val="left" w:pos="1215"/>
              </w:tabs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oral toxicity study of black tea in rodents.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90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[5]</w:t>
            </w:r>
          </w:p>
        </w:tc>
      </w:tr>
      <w:tr w:rsidR="00B52E0D" w:rsidRPr="00EB0F36" w:rsidTr="00997EC0">
        <w:trPr>
          <w:trHeight w:val="283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tabs>
                <w:tab w:val="left" w:pos="1215"/>
              </w:tabs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Acute/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subacute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subchronic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Oral Toxicity of a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Hidroxytyrosol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-Rich Virgin Olive Oil Extract.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28 </w:t>
            </w:r>
            <w:r w:rsidRPr="00EB0F36">
              <w:rPr>
                <w:rFonts w:cs="Times New Roman"/>
                <w:bCs/>
                <w:sz w:val="16"/>
                <w:szCs w:val="16"/>
              </w:rPr>
              <w:t>and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 xml:space="preserve"> 90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[9]</w:t>
            </w:r>
          </w:p>
        </w:tc>
      </w:tr>
      <w:tr w:rsidR="00B52E0D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tabs>
                <w:tab w:val="left" w:pos="1215"/>
              </w:tabs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subacute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Profiles of the Methanol Extract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Lycopersicon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esculentum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 L. Leaves (Tomato), a Botanical with Promising </w:t>
            </w:r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In Vitro</w:t>
            </w:r>
            <w:r w:rsidRPr="00EB0F36">
              <w:rPr>
                <w:rFonts w:cs="Times New Roman"/>
                <w:bCs/>
                <w:sz w:val="16"/>
                <w:szCs w:val="16"/>
              </w:rPr>
              <w:t> Anticancer Potential.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[29]</w:t>
            </w:r>
          </w:p>
        </w:tc>
      </w:tr>
      <w:tr w:rsidR="00B52E0D" w:rsidRPr="00EB0F36" w:rsidTr="00997EC0">
        <w:trPr>
          <w:trHeight w:val="283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tabs>
                <w:tab w:val="left" w:pos="1215"/>
              </w:tabs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subacute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of aqueous extract of aerial parts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Caralluma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dalzielii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 N. E. Brown in mice and rats.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[16]</w:t>
            </w:r>
          </w:p>
        </w:tc>
      </w:tr>
      <w:tr w:rsidR="00B52E0D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tabs>
                <w:tab w:val="left" w:pos="1215"/>
              </w:tabs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Acute and </w:t>
            </w:r>
            <w:proofErr w:type="spellStart"/>
            <w:r w:rsidRPr="00EB0F36">
              <w:rPr>
                <w:rFonts w:cs="Times New Roman"/>
                <w:bCs/>
                <w:i/>
                <w:sz w:val="16"/>
                <w:szCs w:val="16"/>
              </w:rPr>
              <w:t>subacute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of 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Echinops</w:t>
            </w:r>
            <w:proofErr w:type="spellEnd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B0F36">
              <w:rPr>
                <w:rFonts w:cs="Times New Roman"/>
                <w:bCs/>
                <w:i/>
                <w:iCs/>
                <w:sz w:val="16"/>
                <w:szCs w:val="16"/>
              </w:rPr>
              <w:t>kebericho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> decoction in rats.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28 days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[30]</w:t>
            </w:r>
          </w:p>
        </w:tc>
      </w:tr>
      <w:tr w:rsidR="00B52E0D" w:rsidRPr="00EB0F36" w:rsidTr="00997EC0">
        <w:trPr>
          <w:trHeight w:val="283"/>
        </w:trPr>
        <w:tc>
          <w:tcPr>
            <w:tcW w:w="4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7503" w:type="dxa"/>
          </w:tcPr>
          <w:p w:rsidR="00B52E0D" w:rsidRPr="00EB0F36" w:rsidRDefault="00B52E0D" w:rsidP="00997EC0">
            <w:pPr>
              <w:tabs>
                <w:tab w:val="left" w:pos="1215"/>
              </w:tabs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 xml:space="preserve">Evaluation of the acute and </w:t>
            </w:r>
            <w:r w:rsidRPr="00EB0F36">
              <w:rPr>
                <w:rFonts w:cs="Times New Roman"/>
                <w:bCs/>
                <w:i/>
                <w:sz w:val="16"/>
                <w:szCs w:val="16"/>
              </w:rPr>
              <w:t>chronic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toxicity of the </w:t>
            </w:r>
            <w:proofErr w:type="spellStart"/>
            <w:r w:rsidRPr="00EB0F36">
              <w:rPr>
                <w:rFonts w:cs="Times New Roman"/>
                <w:bCs/>
                <w:sz w:val="16"/>
                <w:szCs w:val="16"/>
              </w:rPr>
              <w:t>jiangu</w:t>
            </w:r>
            <w:proofErr w:type="spellEnd"/>
            <w:r w:rsidRPr="00EB0F36">
              <w:rPr>
                <w:rFonts w:cs="Times New Roman"/>
                <w:bCs/>
                <w:sz w:val="16"/>
                <w:szCs w:val="16"/>
              </w:rPr>
              <w:t xml:space="preserve"> capsules.</w:t>
            </w:r>
          </w:p>
        </w:tc>
        <w:tc>
          <w:tcPr>
            <w:tcW w:w="1120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6 months</w:t>
            </w:r>
          </w:p>
        </w:tc>
        <w:tc>
          <w:tcPr>
            <w:tcW w:w="1106" w:type="dxa"/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[31]</w:t>
            </w:r>
          </w:p>
        </w:tc>
      </w:tr>
      <w:tr w:rsidR="00B52E0D" w:rsidRPr="00EB0F36" w:rsidTr="00997E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20" w:type="dxa"/>
            <w:tcBorders>
              <w:bottom w:val="single" w:sz="4" w:space="0" w:color="auto"/>
            </w:tcBorders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13</w:t>
            </w:r>
          </w:p>
        </w:tc>
        <w:tc>
          <w:tcPr>
            <w:tcW w:w="7503" w:type="dxa"/>
            <w:tcBorders>
              <w:bottom w:val="single" w:sz="4" w:space="0" w:color="auto"/>
            </w:tcBorders>
          </w:tcPr>
          <w:p w:rsidR="00B52E0D" w:rsidRPr="00EB0F36" w:rsidRDefault="00B52E0D" w:rsidP="00997EC0">
            <w:pPr>
              <w:tabs>
                <w:tab w:val="left" w:pos="1215"/>
              </w:tabs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Chronic</w:t>
            </w:r>
            <w:r w:rsidRPr="00EB0F36">
              <w:rPr>
                <w:rFonts w:cs="Times New Roman"/>
                <w:bCs/>
                <w:sz w:val="16"/>
                <w:szCs w:val="16"/>
              </w:rPr>
              <w:t xml:space="preserve"> exposure to toluene and heavy metals and changes in indices of liver function, inflammation and oxidative DNA damage among automobile workers”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i/>
                <w:sz w:val="16"/>
                <w:szCs w:val="16"/>
              </w:rPr>
            </w:pPr>
            <w:r w:rsidRPr="00EB0F36">
              <w:rPr>
                <w:rFonts w:cs="Times New Roman"/>
                <w:bCs/>
                <w:i/>
                <w:sz w:val="16"/>
                <w:szCs w:val="16"/>
              </w:rPr>
              <w:t>1 year and above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B52E0D" w:rsidRPr="00EB0F36" w:rsidRDefault="00B52E0D" w:rsidP="00997EC0">
            <w:pPr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EB0F36">
              <w:rPr>
                <w:rFonts w:cs="Times New Roman"/>
                <w:bCs/>
                <w:sz w:val="16"/>
                <w:szCs w:val="16"/>
              </w:rPr>
              <w:t>[17]</w:t>
            </w:r>
          </w:p>
        </w:tc>
      </w:tr>
      <w:tr w:rsidR="00B52E0D" w:rsidRPr="00EB0F36" w:rsidTr="00997EC0">
        <w:trPr>
          <w:trHeight w:val="283"/>
        </w:trPr>
        <w:tc>
          <w:tcPr>
            <w:tcW w:w="10149" w:type="dxa"/>
            <w:gridSpan w:val="4"/>
            <w:tcBorders>
              <w:top w:val="single" w:sz="4" w:space="0" w:color="auto"/>
            </w:tcBorders>
          </w:tcPr>
          <w:p w:rsidR="00B52E0D" w:rsidRPr="00EB0F36" w:rsidRDefault="00B52E0D" w:rsidP="00997EC0">
            <w:pPr>
              <w:contextualSpacing/>
              <w:mirrorIndents/>
              <w:jc w:val="left"/>
              <w:rPr>
                <w:rFonts w:cs="Times New Roman"/>
                <w:bCs/>
                <w:sz w:val="16"/>
                <w:szCs w:val="16"/>
              </w:rPr>
            </w:pPr>
          </w:p>
        </w:tc>
      </w:tr>
    </w:tbl>
    <w:p w:rsidR="00F9069A" w:rsidRDefault="00F9069A"/>
    <w:sectPr w:rsidR="00F90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C8"/>
    <w:rsid w:val="001165C8"/>
    <w:rsid w:val="00B52E0D"/>
    <w:rsid w:val="00F9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D1DD1-DDE7-4C72-8EEF-AA3C604C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3">
    <w:name w:val="APJMT43"/>
    <w:basedOn w:val="TableNormal"/>
    <w:uiPriority w:val="99"/>
    <w:rsid w:val="00B52E0D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2022-06-27T13:49:00Z</dcterms:created>
  <dcterms:modified xsi:type="dcterms:W3CDTF">2022-06-27T13:49:00Z</dcterms:modified>
</cp:coreProperties>
</file>