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"/>
        <w:tblW w:w="10149" w:type="dxa"/>
        <w:tblLayout w:type="fixed"/>
        <w:tblLook w:val="04A0" w:firstRow="1" w:lastRow="0" w:firstColumn="1" w:lastColumn="0" w:noHBand="0" w:noVBand="1"/>
      </w:tblPr>
      <w:tblGrid>
        <w:gridCol w:w="2835"/>
        <w:gridCol w:w="1828"/>
        <w:gridCol w:w="1829"/>
        <w:gridCol w:w="1828"/>
        <w:gridCol w:w="1829"/>
      </w:tblGrid>
      <w:tr w:rsidR="003901FB" w:rsidRPr="00E445A6" w:rsidTr="00A73C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5"/>
          </w:tcPr>
          <w:p w:rsidR="003901FB" w:rsidRPr="00E445A6" w:rsidRDefault="003901FB" w:rsidP="00A73CB1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vertAlign w:val="superscript"/>
              </w:rPr>
            </w:pPr>
            <w:r w:rsidRPr="00E445A6">
              <w:rPr>
                <w:rFonts w:cs="Times New Roman"/>
                <w:sz w:val="16"/>
                <w:szCs w:val="16"/>
              </w:rPr>
              <w:t xml:space="preserve">Table 1. </w:t>
            </w:r>
            <w:proofErr w:type="spellStart"/>
            <w:r w:rsidRPr="00E445A6">
              <w:rPr>
                <w:rFonts w:cs="Times New Roman"/>
                <w:sz w:val="16"/>
                <w:szCs w:val="16"/>
              </w:rPr>
              <w:t>Univariate</w:t>
            </w:r>
            <w:proofErr w:type="spellEnd"/>
            <w:r w:rsidRPr="00E445A6">
              <w:rPr>
                <w:rFonts w:cs="Times New Roman"/>
                <w:sz w:val="16"/>
                <w:szCs w:val="16"/>
              </w:rPr>
              <w:t xml:space="preserve"> and Multivariate Logistic Regression Analysis for parameters affecting delayed neurological </w:t>
            </w:r>
            <w:proofErr w:type="spellStart"/>
            <w:r w:rsidRPr="00E445A6">
              <w:rPr>
                <w:rFonts w:cs="Times New Roman"/>
                <w:sz w:val="16"/>
                <w:szCs w:val="16"/>
              </w:rPr>
              <w:t>Sequelae</w:t>
            </w:r>
            <w:proofErr w:type="spellEnd"/>
            <w:r w:rsidRPr="00E445A6">
              <w:rPr>
                <w:rFonts w:cs="Times New Roman"/>
                <w:sz w:val="16"/>
                <w:szCs w:val="16"/>
              </w:rPr>
              <w:t xml:space="preserve">   (DNS) among CO-intoxicated patients (n = 60)</w:t>
            </w:r>
          </w:p>
        </w:tc>
      </w:tr>
      <w:tr w:rsidR="003901FB" w:rsidRPr="00E445A6" w:rsidTr="00A73CB1">
        <w:trPr>
          <w:trHeight w:val="283"/>
        </w:trPr>
        <w:tc>
          <w:tcPr>
            <w:tcW w:w="2835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657" w:type="dxa"/>
            <w:gridSpan w:val="2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E445A6">
              <w:rPr>
                <w:rFonts w:cs="Times New Roman"/>
                <w:sz w:val="16"/>
                <w:szCs w:val="16"/>
              </w:rPr>
              <w:t>Univariate</w:t>
            </w:r>
            <w:proofErr w:type="spellEnd"/>
          </w:p>
        </w:tc>
        <w:tc>
          <w:tcPr>
            <w:tcW w:w="3657" w:type="dxa"/>
            <w:gridSpan w:val="2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  <w:vertAlign w:val="superscript"/>
              </w:rPr>
              <w:t>#</w:t>
            </w:r>
            <w:r w:rsidRPr="00E445A6">
              <w:rPr>
                <w:rFonts w:cs="Times New Roman"/>
                <w:sz w:val="16"/>
                <w:szCs w:val="16"/>
              </w:rPr>
              <w:t>Multivariate</w:t>
            </w:r>
          </w:p>
        </w:tc>
      </w:tr>
      <w:tr w:rsidR="003901FB" w:rsidRPr="00E445A6" w:rsidTr="00A73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35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p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OR (95%C.I)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p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OR (95%C.I)</w:t>
            </w:r>
          </w:p>
        </w:tc>
      </w:tr>
      <w:tr w:rsidR="003901FB" w:rsidRPr="00E445A6" w:rsidTr="00A73CB1">
        <w:trPr>
          <w:trHeight w:val="283"/>
        </w:trPr>
        <w:tc>
          <w:tcPr>
            <w:tcW w:w="2835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Time passed since exposure (Hours)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0.004</w:t>
            </w:r>
            <w:r w:rsidRPr="00E445A6">
              <w:rPr>
                <w:rFonts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2.205 (1.293 – 3.760)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3901FB" w:rsidRPr="00E445A6" w:rsidTr="00A73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35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Duration of exposure (Hours)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0.001</w:t>
            </w:r>
            <w:r w:rsidRPr="00E445A6">
              <w:rPr>
                <w:rFonts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10.811(2.634–44.370)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3901FB" w:rsidRPr="00E445A6" w:rsidTr="00A73CB1">
        <w:trPr>
          <w:trHeight w:val="283"/>
        </w:trPr>
        <w:tc>
          <w:tcPr>
            <w:tcW w:w="2835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Systolic blood pressure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0.001</w:t>
            </w:r>
            <w:r w:rsidRPr="00E445A6">
              <w:rPr>
                <w:rFonts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0.755 (0.642 – 0.887)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3901FB" w:rsidRPr="00E445A6" w:rsidTr="00A73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35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Diastolic blood pressure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0.012</w:t>
            </w:r>
            <w:r w:rsidRPr="00E445A6">
              <w:rPr>
                <w:rFonts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0.763 (0.618 – 0.942)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3901FB" w:rsidRPr="00E445A6" w:rsidTr="00A73CB1">
        <w:trPr>
          <w:trHeight w:val="283"/>
        </w:trPr>
        <w:tc>
          <w:tcPr>
            <w:tcW w:w="2835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CT brain findings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0.997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–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3901FB" w:rsidRPr="00E445A6" w:rsidTr="00A73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35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pH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0.329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0.001 (0.000 – 1687.444)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</w:tr>
      <w:tr w:rsidR="003901FB" w:rsidRPr="00E445A6" w:rsidTr="00A73CB1">
        <w:trPr>
          <w:trHeight w:val="283"/>
        </w:trPr>
        <w:tc>
          <w:tcPr>
            <w:tcW w:w="2835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PCO</w:t>
            </w:r>
            <w:r w:rsidRPr="00E445A6">
              <w:rPr>
                <w:rFonts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0.001</w:t>
            </w:r>
            <w:r w:rsidRPr="00E445A6">
              <w:rPr>
                <w:rFonts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0.778 (0.674 – 0.897)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3901FB" w:rsidRPr="00E445A6" w:rsidTr="00A73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35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SaO</w:t>
            </w:r>
            <w:r w:rsidRPr="00E445A6">
              <w:rPr>
                <w:rFonts w:cs="Times New Roman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0.012</w:t>
            </w:r>
            <w:r w:rsidRPr="00E445A6">
              <w:rPr>
                <w:rFonts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0.837 (0.728 – 0.962)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3901FB" w:rsidRPr="00E445A6" w:rsidTr="00A73CB1">
        <w:trPr>
          <w:trHeight w:val="283"/>
        </w:trPr>
        <w:tc>
          <w:tcPr>
            <w:tcW w:w="2835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HCO</w:t>
            </w:r>
            <w:r w:rsidRPr="00E445A6">
              <w:rPr>
                <w:rFonts w:cs="Times New Roman"/>
                <w:sz w:val="16"/>
                <w:szCs w:val="16"/>
                <w:vertAlign w:val="subscript"/>
              </w:rPr>
              <w:t>3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0.047</w:t>
            </w:r>
            <w:r w:rsidRPr="00E445A6">
              <w:rPr>
                <w:rFonts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0.617 (0.383 – 0.994)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3901FB" w:rsidRPr="00E445A6" w:rsidTr="00A73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35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Hyperbaric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&lt;0.001</w:t>
            </w:r>
            <w:r w:rsidRPr="00E445A6">
              <w:rPr>
                <w:rFonts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150.0(15.493-1452.25)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-</w:t>
            </w:r>
          </w:p>
        </w:tc>
      </w:tr>
      <w:tr w:rsidR="003901FB" w:rsidRPr="00E445A6" w:rsidTr="00A73CB1">
        <w:trPr>
          <w:trHeight w:val="283"/>
        </w:trPr>
        <w:tc>
          <w:tcPr>
            <w:tcW w:w="2835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GCS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0.007</w:t>
            </w:r>
            <w:r w:rsidRPr="00E445A6">
              <w:rPr>
                <w:rFonts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0.663 (0.493 – 0.893)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1.000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0.932(0.001-0.01)</w:t>
            </w:r>
          </w:p>
        </w:tc>
      </w:tr>
      <w:tr w:rsidR="003901FB" w:rsidRPr="00E445A6" w:rsidTr="00A73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35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E445A6">
              <w:rPr>
                <w:rFonts w:cs="Times New Roman"/>
                <w:sz w:val="16"/>
                <w:szCs w:val="16"/>
              </w:rPr>
              <w:t>COHb</w:t>
            </w:r>
            <w:proofErr w:type="spellEnd"/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&lt;0.001</w:t>
            </w:r>
            <w:r w:rsidRPr="00E445A6">
              <w:rPr>
                <w:rFonts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1.464 (1.183 – 1.811)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0.152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1.943(0.783-4.819)</w:t>
            </w:r>
          </w:p>
        </w:tc>
      </w:tr>
      <w:tr w:rsidR="003901FB" w:rsidRPr="00E445A6" w:rsidTr="00A73CB1">
        <w:trPr>
          <w:trHeight w:val="283"/>
        </w:trPr>
        <w:tc>
          <w:tcPr>
            <w:tcW w:w="2835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IMA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0.003</w:t>
            </w:r>
            <w:r w:rsidRPr="00E445A6">
              <w:rPr>
                <w:rFonts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1.088 (1.030 – 1.150)</w:t>
            </w:r>
          </w:p>
        </w:tc>
        <w:tc>
          <w:tcPr>
            <w:tcW w:w="1828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0.170</w:t>
            </w:r>
          </w:p>
        </w:tc>
        <w:tc>
          <w:tcPr>
            <w:tcW w:w="1829" w:type="dxa"/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1.292(0.896-1.863)</w:t>
            </w:r>
          </w:p>
        </w:tc>
      </w:tr>
      <w:tr w:rsidR="003901FB" w:rsidRPr="00E445A6" w:rsidTr="00A73CB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835" w:type="dxa"/>
            <w:tcBorders>
              <w:bottom w:val="single" w:sz="4" w:space="0" w:color="auto"/>
            </w:tcBorders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NLR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0.001</w:t>
            </w:r>
            <w:r w:rsidRPr="00E445A6">
              <w:rPr>
                <w:rFonts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2.956 (1.529 – 5.715)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  <w:rtl/>
                <w:lang w:bidi="ar-EG"/>
              </w:rPr>
            </w:pPr>
            <w:r w:rsidRPr="00E445A6">
              <w:rPr>
                <w:rFonts w:cs="Times New Roman"/>
                <w:sz w:val="16"/>
                <w:szCs w:val="16"/>
                <w:lang w:bidi="ar-EG"/>
              </w:rPr>
              <w:t>0.186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01FB" w:rsidRPr="00E445A6" w:rsidRDefault="003901FB" w:rsidP="00A73CB1">
            <w:pPr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4.104(0.507-33.208)</w:t>
            </w:r>
          </w:p>
        </w:tc>
      </w:tr>
      <w:tr w:rsidR="003901FB" w:rsidRPr="00E445A6" w:rsidTr="00A73CB1">
        <w:trPr>
          <w:trHeight w:val="283"/>
        </w:trPr>
        <w:tc>
          <w:tcPr>
            <w:tcW w:w="10149" w:type="dxa"/>
            <w:gridSpan w:val="5"/>
            <w:tcBorders>
              <w:top w:val="single" w:sz="4" w:space="0" w:color="auto"/>
            </w:tcBorders>
          </w:tcPr>
          <w:p w:rsidR="003901FB" w:rsidRPr="00E445A6" w:rsidRDefault="003901FB" w:rsidP="00A73CB1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OR: Odd`s ratio</w:t>
            </w:r>
          </w:p>
          <w:p w:rsidR="003901FB" w:rsidRPr="00E445A6" w:rsidRDefault="003901FB" w:rsidP="00A73CB1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C.I: Confidence interval</w:t>
            </w:r>
            <w:r w:rsidRPr="00E445A6">
              <w:rPr>
                <w:rFonts w:cs="Times New Roman"/>
                <w:sz w:val="16"/>
                <w:szCs w:val="16"/>
              </w:rPr>
              <w:tab/>
            </w:r>
            <w:r w:rsidRPr="00E445A6">
              <w:rPr>
                <w:rFonts w:cs="Times New Roman"/>
                <w:sz w:val="16"/>
                <w:szCs w:val="16"/>
              </w:rPr>
              <w:tab/>
            </w:r>
            <w:r w:rsidRPr="00E445A6">
              <w:rPr>
                <w:rFonts w:cs="Times New Roman"/>
                <w:sz w:val="16"/>
                <w:szCs w:val="16"/>
                <w:lang w:bidi="ar-EG"/>
              </w:rPr>
              <w:t xml:space="preserve">LL: Lower limit </w:t>
            </w:r>
            <w:r w:rsidRPr="00E445A6">
              <w:rPr>
                <w:rFonts w:cs="Times New Roman"/>
                <w:sz w:val="16"/>
                <w:szCs w:val="16"/>
                <w:lang w:bidi="ar-EG"/>
              </w:rPr>
              <w:tab/>
            </w:r>
            <w:r w:rsidRPr="00E445A6">
              <w:rPr>
                <w:rFonts w:cs="Times New Roman"/>
                <w:sz w:val="16"/>
                <w:szCs w:val="16"/>
                <w:lang w:bidi="ar-EG"/>
              </w:rPr>
              <w:tab/>
              <w:t>UL: Upper Limit</w:t>
            </w:r>
          </w:p>
          <w:p w:rsidR="003901FB" w:rsidRPr="00E445A6" w:rsidRDefault="003901FB" w:rsidP="00A73CB1">
            <w:pPr>
              <w:tabs>
                <w:tab w:val="right" w:pos="8504"/>
              </w:tabs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</w:rPr>
              <w:t>#: All variables with p&lt;0.05 was included in the multivariate</w:t>
            </w:r>
          </w:p>
          <w:p w:rsidR="003901FB" w:rsidRPr="00E445A6" w:rsidRDefault="003901FB" w:rsidP="00A73CB1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b/>
                <w:bCs/>
                <w:sz w:val="16"/>
                <w:szCs w:val="16"/>
              </w:rPr>
            </w:pPr>
            <w:r w:rsidRPr="00E445A6">
              <w:rPr>
                <w:rFonts w:cs="Times New Roman"/>
                <w:sz w:val="16"/>
                <w:szCs w:val="16"/>
                <w:lang w:bidi="ar-EG"/>
              </w:rPr>
              <w:t>*: Statistically significant at p ≤ 0.05</w:t>
            </w:r>
          </w:p>
        </w:tc>
      </w:tr>
    </w:tbl>
    <w:p w:rsidR="007E3A0F" w:rsidRDefault="007E3A0F">
      <w:bookmarkStart w:id="0" w:name="_GoBack"/>
      <w:bookmarkEnd w:id="0"/>
    </w:p>
    <w:sectPr w:rsidR="007E3A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AB"/>
    <w:rsid w:val="001F5E0F"/>
    <w:rsid w:val="0026185C"/>
    <w:rsid w:val="003901FB"/>
    <w:rsid w:val="0043734D"/>
    <w:rsid w:val="00726A20"/>
    <w:rsid w:val="007E3A0F"/>
    <w:rsid w:val="00890102"/>
    <w:rsid w:val="009677AB"/>
    <w:rsid w:val="00967D1F"/>
    <w:rsid w:val="009C0776"/>
    <w:rsid w:val="00E33A16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D2D06-220F-4F06-9F82-BA408876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">
    <w:name w:val="APJMT"/>
    <w:basedOn w:val="TableNormal"/>
    <w:uiPriority w:val="99"/>
    <w:rsid w:val="003901FB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2022-10-05T03:11:00Z</dcterms:created>
  <dcterms:modified xsi:type="dcterms:W3CDTF">2022-10-05T03:11:00Z</dcterms:modified>
</cp:coreProperties>
</file>